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End-to-End CI/CD Pipeline</w:t>
      </w:r>
    </w:p>
    <w:p/>
    <w:p>
      <w:pPr>
        <w:jc w:val="center"/>
      </w:pPr>
      <w:r>
        <w:rPr>
          <w:color w:val="475569"/>
          <w:sz w:val="26"/>
        </w:rPr>
        <w:t>mern-auth Application — DevOps Competency Submission</w:t>
      </w:r>
    </w:p>
    <w:p/>
    <w:p>
      <w:pPr>
        <w:jc w:val="center"/>
      </w:pPr>
      <w:r>
        <w:rPr>
          <w:b/>
          <w:color w:val="FFFFFF"/>
          <w:sz w:val="20"/>
        </w:rPr>
        <w:t xml:space="preserve">  PRCICD-001: Software Release Workflows  </w:t>
      </w:r>
      <w:r>
        <w:t xml:space="preserve">   </w:t>
      </w:r>
      <w:r>
        <w:rPr>
          <w:b/>
          <w:color w:val="FFFFFF"/>
          <w:sz w:val="20"/>
        </w:rPr>
        <w:t xml:space="preserve">  PRCICD-002: Build and Test Code  </w:t>
      </w:r>
    </w:p>
    <w:p>
      <w:pPr>
        <w:jc w:val="center"/>
      </w:pPr>
      <w:r>
        <w:rPr>
          <w:i/>
          <w:color w:val="94A3B8"/>
          <w:sz w:val="17"/>
        </w:rPr>
        <w:t>Prepared: 03 April 2026  ·  Architecture: Jenkins Master/Slave  ·  Runtime: Kubernetes  ·  Monitoring: Prometheus</w:t>
      </w:r>
    </w:p>
    <w:p/>
    <w:p>
      <w:pPr>
        <w:spacing w:before="280" w:after="80"/>
        <w:jc w:val="left"/>
      </w:pPr>
      <w:r>
        <w:rPr>
          <w:b/>
          <w:color w:val="1E3A5F"/>
          <w:sz w:val="26"/>
        </w:rPr>
        <w:t>1. Overview</w:t>
      </w:r>
    </w:p>
    <w:p>
      <w:pPr>
        <w:spacing w:after="120"/>
      </w:pPr>
      <w:r>
        <w:rPr>
          <w:i w:val="0"/>
          <w:sz w:val="20"/>
        </w:rPr>
        <w:t>This document describes the end-to-end CI/CD pipeline designed for the mern-auth application (MERN stack). It maps each pipeline stage to the two DevOps competency controls under review, demonstrating how the implementation satisfies both release governance (PRCICD-001) and build quality (PRCICD-002) requirements.</w:t>
      </w:r>
    </w:p>
    <w:p>
      <w:pPr>
        <w:spacing w:after="120"/>
      </w:pPr>
      <w:r>
        <w:rPr>
          <w:i w:val="0"/>
          <w:sz w:val="20"/>
        </w:rPr>
        <w:t>The pipeline runs on a Jenkins Master/Slave architecture deployed within a Kubernetes cluster. The Master coordinates the workflow while ephemeral slave agents handle compute-intensive tasks. Prometheus provides real-time production monitoring and triggers automatic rollback when error thresholds are exceeded.</w:t>
      </w:r>
    </w:p>
    <w:p>
      <w:pPr>
        <w:spacing w:before="280" w:after="80"/>
        <w:jc w:val="left"/>
      </w:pPr>
      <w:r>
        <w:rPr>
          <w:b/>
          <w:color w:val="1E3A5F"/>
          <w:sz w:val="26"/>
        </w:rPr>
        <w:t>2. Architecture Diagram</w:t>
      </w:r>
    </w:p>
    <w:p>
      <w:pPr>
        <w:spacing w:after="120"/>
      </w:pPr>
      <w:r>
        <w:rPr>
          <w:i w:val="0"/>
          <w:color w:val="64748B"/>
          <w:sz w:val="18"/>
        </w:rPr>
        <w:t>The diagram below shows the three-lane pipeline structure: Jenkins Master (orchestrator), Jenkins Slaves (workers), and External Systems.</w:t>
      </w:r>
    </w:p>
    <w:p>
      <w:pPr>
        <w:jc w:val="center"/>
      </w:pPr>
      <w:r>
        <w:drawing>
          <wp:inline xmlns:a="http://schemas.openxmlformats.org/drawingml/2006/main" xmlns:pic="http://schemas.openxmlformats.org/drawingml/2006/picture">
            <wp:extent cx="5669280" cy="3623737"/>
            <wp:docPr id="1" name="Picture 1"/>
            <wp:cNvGraphicFramePr>
              <a:graphicFrameLocks noChangeAspect="1"/>
            </wp:cNvGraphicFramePr>
            <a:graphic>
              <a:graphicData uri="http://schemas.openxmlformats.org/drawingml/2006/picture">
                <pic:pic>
                  <pic:nvPicPr>
                    <pic:cNvPr id="0" name="cicd_architecture_final.png"/>
                    <pic:cNvPicPr/>
                  </pic:nvPicPr>
                  <pic:blipFill>
                    <a:blip r:embed="rId9"/>
                    <a:stretch>
                      <a:fillRect/>
                    </a:stretch>
                  </pic:blipFill>
                  <pic:spPr>
                    <a:xfrm>
                      <a:off x="0" y="0"/>
                      <a:ext cx="5669280" cy="3623737"/>
                    </a:xfrm>
                    <a:prstGeom prst="rect"/>
                  </pic:spPr>
                </pic:pic>
              </a:graphicData>
            </a:graphic>
          </wp:inline>
        </w:drawing>
      </w:r>
    </w:p>
    <w:p>
      <w:pPr>
        <w:spacing w:before="280" w:after="80"/>
        <w:jc w:val="left"/>
      </w:pPr>
      <w:r>
        <w:rPr>
          <w:b/>
          <w:color w:val="1E3A5F"/>
          <w:sz w:val="26"/>
        </w:rPr>
        <w:t>3. Master / Slave Design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E3A5F"/>
          </w:tcPr>
          <w:p>
            <w:pPr>
              <w:jc w:val="left"/>
            </w:pPr>
            <w:r>
              <w:rPr>
                <w:b/>
                <w:color w:val="FFFFFF"/>
                <w:sz w:val="18"/>
              </w:rPr>
              <w:t>Component</w:t>
            </w:r>
          </w:p>
        </w:tc>
        <w:tc>
          <w:tcPr>
            <w:tcW w:type="dxa" w:w="3135"/>
            <w:shd w:val="clear" w:color="auto" w:fill="1E3A5F"/>
          </w:tcPr>
          <w:p>
            <w:pPr>
              <w:jc w:val="left"/>
            </w:pPr>
            <w:r>
              <w:rPr>
                <w:b/>
                <w:color w:val="FFFFFF"/>
                <w:sz w:val="18"/>
              </w:rPr>
              <w:t>Location</w:t>
            </w:r>
          </w:p>
        </w:tc>
        <w:tc>
          <w:tcPr>
            <w:tcW w:type="dxa" w:w="3135"/>
            <w:shd w:val="clear" w:color="auto" w:fill="1E3A5F"/>
          </w:tcPr>
          <w:p>
            <w:pPr>
              <w:jc w:val="left"/>
            </w:pPr>
            <w:r>
              <w:rPr>
                <w:b/>
                <w:color w:val="FFFFFF"/>
                <w:sz w:val="18"/>
              </w:rPr>
              <w:t>Responsibility</w:t>
            </w:r>
          </w:p>
        </w:tc>
      </w:tr>
      <w:tr>
        <w:tc>
          <w:tcPr>
            <w:tcW w:type="dxa" w:w="3135"/>
            <w:shd w:val="clear" w:color="auto" w:fill="F1F5F9"/>
          </w:tcPr>
          <w:p>
            <w:pPr>
              <w:jc w:val="left"/>
            </w:pPr>
            <w:r>
              <w:rPr>
                <w:b w:val="0"/>
                <w:sz w:val="18"/>
              </w:rPr>
              <w:t>Jenkins Master</w:t>
            </w:r>
          </w:p>
        </w:tc>
        <w:tc>
          <w:tcPr>
            <w:tcW w:type="dxa" w:w="3135"/>
          </w:tcPr>
          <w:p>
            <w:pPr>
              <w:jc w:val="left"/>
            </w:pPr>
            <w:r>
              <w:rPr>
                <w:b w:val="0"/>
                <w:sz w:val="18"/>
              </w:rPr>
              <w:t>Permanent EC2/K8s pod in the cicd namespace</w:t>
            </w:r>
          </w:p>
        </w:tc>
        <w:tc>
          <w:tcPr>
            <w:tcW w:type="dxa" w:w="3135"/>
            <w:shd w:val="clear" w:color="auto" w:fill="F1F5F9"/>
          </w:tcPr>
          <w:p>
            <w:pPr>
              <w:jc w:val="left"/>
            </w:pPr>
            <w:r>
              <w:rPr>
                <w:b w:val="0"/>
                <w:sz w:val="18"/>
              </w:rPr>
              <w:t>Receives webhook on PR merge, schedules agent pods, holds the Manual Approval Gate, sends Slack notifications, stores the audit trail. Never runs build or test work itself.</w:t>
            </w:r>
          </w:p>
        </w:tc>
      </w:tr>
      <w:tr>
        <w:tc>
          <w:tcPr>
            <w:tcW w:type="dxa" w:w="3135"/>
            <w:shd w:val="clear" w:color="auto" w:fill="F1F5F9"/>
          </w:tcPr>
          <w:p>
            <w:pPr>
              <w:jc w:val="left"/>
            </w:pPr>
            <w:r>
              <w:rPr>
                <w:b w:val="0"/>
                <w:sz w:val="18"/>
              </w:rPr>
              <w:t>Build Agent (Slave)</w:t>
            </w:r>
          </w:p>
        </w:tc>
        <w:tc>
          <w:tcPr>
            <w:tcW w:type="dxa" w:w="3135"/>
          </w:tcPr>
          <w:p>
            <w:pPr>
              <w:jc w:val="left"/>
            </w:pPr>
            <w:r>
              <w:rPr>
                <w:b w:val="0"/>
                <w:sz w:val="18"/>
              </w:rPr>
              <w:t>Ephemeral K8s pod — label: build-agent</w:t>
            </w:r>
          </w:p>
        </w:tc>
        <w:tc>
          <w:tcPr>
            <w:tcW w:type="dxa" w:w="3135"/>
            <w:shd w:val="clear" w:color="auto" w:fill="F1F5F9"/>
          </w:tcPr>
          <w:p>
            <w:pPr>
              <w:jc w:val="left"/>
            </w:pPr>
            <w:r>
              <w:rPr>
                <w:b w:val="0"/>
                <w:sz w:val="18"/>
              </w:rPr>
              <w:t>Runs compile, unit tests, SonarQube SAST, Docker image build, Trivy SCA scan, and registry push. Terminated after each job to eliminate state bleed between runs.</w:t>
            </w:r>
          </w:p>
        </w:tc>
      </w:tr>
      <w:tr>
        <w:tc>
          <w:tcPr>
            <w:tcW w:type="dxa" w:w="3135"/>
            <w:shd w:val="clear" w:color="auto" w:fill="F1F5F9"/>
          </w:tcPr>
          <w:p>
            <w:pPr>
              <w:jc w:val="left"/>
            </w:pPr>
            <w:r>
              <w:rPr>
                <w:b w:val="0"/>
                <w:sz w:val="18"/>
              </w:rPr>
              <w:t>Test Agent (Slave)</w:t>
            </w:r>
          </w:p>
        </w:tc>
        <w:tc>
          <w:tcPr>
            <w:tcW w:type="dxa" w:w="3135"/>
          </w:tcPr>
          <w:p>
            <w:pPr>
              <w:jc w:val="left"/>
            </w:pPr>
            <w:r>
              <w:rPr>
                <w:b w:val="0"/>
                <w:sz w:val="18"/>
              </w:rPr>
              <w:t>Ephemeral K8s pod — label: test-agent</w:t>
            </w:r>
          </w:p>
        </w:tc>
        <w:tc>
          <w:tcPr>
            <w:tcW w:type="dxa" w:w="3135"/>
            <w:shd w:val="clear" w:color="auto" w:fill="F1F5F9"/>
          </w:tcPr>
          <w:p>
            <w:pPr>
              <w:jc w:val="left"/>
            </w:pPr>
            <w:r>
              <w:rPr>
                <w:b w:val="0"/>
                <w:sz w:val="18"/>
              </w:rPr>
              <w:t>Runs integration tests via Newman (Postman collections) and OWASP ZAP DAST against a live container. Also queries Prometheus for the post-production health check.</w:t>
            </w:r>
          </w:p>
        </w:tc>
      </w:tr>
      <w:tr>
        <w:tc>
          <w:tcPr>
            <w:tcW w:type="dxa" w:w="3135"/>
            <w:shd w:val="clear" w:color="auto" w:fill="F1F5F9"/>
          </w:tcPr>
          <w:p>
            <w:pPr>
              <w:jc w:val="left"/>
            </w:pPr>
            <w:r>
              <w:rPr>
                <w:b w:val="0"/>
                <w:sz w:val="18"/>
              </w:rPr>
              <w:t>Deploy Agent (Slave)</w:t>
            </w:r>
          </w:p>
        </w:tc>
        <w:tc>
          <w:tcPr>
            <w:tcW w:type="dxa" w:w="3135"/>
          </w:tcPr>
          <w:p>
            <w:pPr>
              <w:jc w:val="left"/>
            </w:pPr>
            <w:r>
              <w:rPr>
                <w:b w:val="0"/>
                <w:sz w:val="18"/>
              </w:rPr>
              <w:t>Ephemeral K8s pod — label: deploy-agent</w:t>
            </w:r>
          </w:p>
        </w:tc>
        <w:tc>
          <w:tcPr>
            <w:tcW w:type="dxa" w:w="3135"/>
            <w:shd w:val="clear" w:color="auto" w:fill="F1F5F9"/>
          </w:tcPr>
          <w:p>
            <w:pPr>
              <w:jc w:val="left"/>
            </w:pPr>
            <w:r>
              <w:rPr>
                <w:b w:val="0"/>
                <w:sz w:val="18"/>
              </w:rPr>
              <w:t>Executes kubectl commands to update Kubernetes Deployments in staging and production namespaces. Handles Blue/Green traffic switching by patching the Service selector.</w:t>
            </w:r>
          </w:p>
        </w:tc>
      </w:tr>
    </w:tbl>
    <w:p/>
    <w:p>
      <w:pPr>
        <w:spacing w:before="280" w:after="80"/>
        <w:jc w:val="left"/>
      </w:pPr>
      <w:r>
        <w:rPr>
          <w:b/>
          <w:color w:val="1E3A5F"/>
          <w:sz w:val="26"/>
        </w:rPr>
        <w:t>4. Pipeline Stages</w:t>
      </w:r>
    </w:p>
    <w:p>
      <w:pPr>
        <w:spacing w:after="120"/>
      </w:pPr>
      <w:r>
        <w:rPr>
          <w:i/>
          <w:sz w:val="18"/>
        </w:rPr>
        <w:t>Each stage is mapped to the control it satisfies, the tools used, and the evidence artefact produced.</w:t>
      </w:r>
    </w:p>
    <w:tbl>
      <w:tblPr>
        <w:tblStyle w:val="TableGrid"/>
        <w:tblW w:type="auto" w:w="0"/>
        <w:jc w:val="center"/>
        <w:tblLook w:firstColumn="1" w:firstRow="1" w:lastColumn="0" w:lastRow="0" w:noHBand="0" w:noVBand="1" w:val="04A0"/>
      </w:tblPr>
      <w:tblGrid>
        <w:gridCol w:w="4703"/>
        <w:gridCol w:w="4703"/>
      </w:tblGrid>
      <w:tr>
        <w:tc>
          <w:tcPr>
            <w:tcW w:type="dxa" w:w="9406"/>
            <w:gridSpan w:val="2"/>
            <w:shd w:val="clear" w:color="auto" w:fill="064E3B"/>
          </w:tcPr>
          <w:p>
            <w:pPr>
              <w:jc w:val="left"/>
            </w:pPr>
            <w:r>
              <w:rPr>
                <w:b/>
                <w:color w:val="FFFFFF"/>
                <w:sz w:val="19"/>
              </w:rPr>
              <w:t>Stage 1</w:t>
              <w:br/>
              <w:t>Checkout &amp; Compile</w:t>
            </w:r>
          </w:p>
        </w:tc>
      </w:tr>
      <w:tr>
        <w:tc>
          <w:tcPr>
            <w:tcW w:type="dxa" w:w="4703"/>
            <w:shd w:val="clear" w:color="auto" w:fill="F1F5F9"/>
          </w:tcPr>
          <w:p>
            <w:pPr>
              <w:jc w:val="left"/>
            </w:pPr>
            <w:r>
              <w:rPr>
                <w:b/>
                <w:sz w:val="17"/>
              </w:rPr>
              <w:t>Agent / Control</w:t>
            </w:r>
          </w:p>
        </w:tc>
        <w:tc>
          <w:tcPr>
            <w:tcW w:type="dxa" w:w="4703"/>
          </w:tcPr>
          <w:p>
            <w:pPr>
              <w:jc w:val="left"/>
            </w:pPr>
            <w:r>
              <w:rPr>
                <w:b w:val="0"/>
                <w:sz w:val="17"/>
              </w:rPr>
              <w:t>Build Agent  ·  PRCICD-002</w:t>
            </w:r>
          </w:p>
        </w:tc>
      </w:tr>
      <w:tr>
        <w:tc>
          <w:tcPr>
            <w:tcW w:type="dxa" w:w="4703"/>
            <w:shd w:val="clear" w:color="auto" w:fill="F1F5F9"/>
          </w:tcPr>
          <w:p>
            <w:pPr>
              <w:jc w:val="left"/>
            </w:pPr>
            <w:r>
              <w:rPr>
                <w:b/>
                <w:sz w:val="17"/>
              </w:rPr>
              <w:t>Tools</w:t>
            </w:r>
          </w:p>
        </w:tc>
        <w:tc>
          <w:tcPr>
            <w:tcW w:type="dxa" w:w="4703"/>
          </w:tcPr>
          <w:p>
            <w:pPr>
              <w:jc w:val="left"/>
            </w:pPr>
            <w:r>
              <w:rPr>
                <w:b w:val="0"/>
                <w:sz w:val="17"/>
              </w:rPr>
              <w:t>Git · npm ci · React build</w:t>
            </w:r>
          </w:p>
        </w:tc>
      </w:tr>
      <w:tr>
        <w:tc>
          <w:tcPr>
            <w:tcW w:type="dxa" w:w="4703"/>
            <w:shd w:val="clear" w:color="auto" w:fill="F1F5F9"/>
          </w:tcPr>
          <w:p>
            <w:pPr>
              <w:jc w:val="left"/>
            </w:pPr>
            <w:r>
              <w:rPr>
                <w:b/>
                <w:sz w:val="17"/>
              </w:rPr>
              <w:t>What happens</w:t>
            </w:r>
          </w:p>
        </w:tc>
        <w:tc>
          <w:tcPr>
            <w:tcW w:type="dxa" w:w="4703"/>
          </w:tcPr>
          <w:p>
            <w:pPr>
              <w:jc w:val="left"/>
            </w:pPr>
            <w:r>
              <w:rPr>
                <w:b w:val="0"/>
                <w:sz w:val="17"/>
              </w:rPr>
              <w:t>Pipeline triggers on PR merge to main. Build agent clones the repo and compiles both backend (Node.js) and frontend (React), confirming the codebase builds cleanly.</w:t>
            </w:r>
          </w:p>
        </w:tc>
      </w:tr>
      <w:tr>
        <w:tc>
          <w:tcPr>
            <w:tcW w:type="dxa" w:w="4703"/>
            <w:shd w:val="clear" w:color="auto" w:fill="F1F5F9"/>
          </w:tcPr>
          <w:p>
            <w:pPr>
              <w:jc w:val="left"/>
            </w:pPr>
            <w:r>
              <w:rPr>
                <w:b/>
                <w:sz w:val="17"/>
              </w:rPr>
              <w:t>Evidence artefact</w:t>
            </w:r>
          </w:p>
        </w:tc>
        <w:tc>
          <w:tcPr>
            <w:tcW w:type="dxa" w:w="4703"/>
          </w:tcPr>
          <w:p>
            <w:pPr>
              <w:jc w:val="left"/>
            </w:pPr>
            <w:r>
              <w:rPr>
                <w:b w:val="0"/>
                <w:sz w:val="17"/>
              </w:rPr>
              <w:t>Build log with exit code 0 and npm install manifest</w:t>
            </w:r>
          </w:p>
        </w:tc>
      </w:tr>
    </w:tbl>
    <w:p/>
    <w:tbl>
      <w:tblPr>
        <w:tblStyle w:val="TableGrid"/>
        <w:tblW w:type="auto" w:w="0"/>
        <w:jc w:val="center"/>
        <w:tblLook w:firstColumn="1" w:firstRow="1" w:lastColumn="0" w:lastRow="0" w:noHBand="0" w:noVBand="1" w:val="04A0"/>
      </w:tblPr>
      <w:tblGrid>
        <w:gridCol w:w="4703"/>
        <w:gridCol w:w="4703"/>
      </w:tblGrid>
      <w:tr>
        <w:tc>
          <w:tcPr>
            <w:tcW w:type="dxa" w:w="9406"/>
            <w:gridSpan w:val="2"/>
            <w:shd w:val="clear" w:color="auto" w:fill="064E3B"/>
          </w:tcPr>
          <w:p>
            <w:pPr>
              <w:jc w:val="left"/>
            </w:pPr>
            <w:r>
              <w:rPr>
                <w:b/>
                <w:color w:val="FFFFFF"/>
                <w:sz w:val="19"/>
              </w:rPr>
              <w:t>Stage 2–3</w:t>
              <w:br/>
              <w:t>Unit Tests &amp; SAST</w:t>
            </w:r>
          </w:p>
        </w:tc>
      </w:tr>
      <w:tr>
        <w:tc>
          <w:tcPr>
            <w:tcW w:type="dxa" w:w="4703"/>
            <w:shd w:val="clear" w:color="auto" w:fill="F1F5F9"/>
          </w:tcPr>
          <w:p>
            <w:pPr>
              <w:jc w:val="left"/>
            </w:pPr>
            <w:r>
              <w:rPr>
                <w:b/>
                <w:sz w:val="17"/>
              </w:rPr>
              <w:t>Agent / Control</w:t>
            </w:r>
          </w:p>
        </w:tc>
        <w:tc>
          <w:tcPr>
            <w:tcW w:type="dxa" w:w="4703"/>
          </w:tcPr>
          <w:p>
            <w:pPr>
              <w:jc w:val="left"/>
            </w:pPr>
            <w:r>
              <w:rPr>
                <w:b w:val="0"/>
                <w:sz w:val="17"/>
              </w:rPr>
              <w:t>Build Agent  ·  PRCICD-002</w:t>
            </w:r>
          </w:p>
        </w:tc>
      </w:tr>
      <w:tr>
        <w:tc>
          <w:tcPr>
            <w:tcW w:type="dxa" w:w="4703"/>
            <w:shd w:val="clear" w:color="auto" w:fill="F1F5F9"/>
          </w:tcPr>
          <w:p>
            <w:pPr>
              <w:jc w:val="left"/>
            </w:pPr>
            <w:r>
              <w:rPr>
                <w:b/>
                <w:sz w:val="17"/>
              </w:rPr>
              <w:t>Tools</w:t>
            </w:r>
          </w:p>
        </w:tc>
        <w:tc>
          <w:tcPr>
            <w:tcW w:type="dxa" w:w="4703"/>
          </w:tcPr>
          <w:p>
            <w:pPr>
              <w:jc w:val="left"/>
            </w:pPr>
            <w:r>
              <w:rPr>
                <w:b w:val="0"/>
                <w:sz w:val="17"/>
              </w:rPr>
              <w:t>Mocha · Jest · SonarQube</w:t>
            </w:r>
          </w:p>
        </w:tc>
      </w:tr>
      <w:tr>
        <w:tc>
          <w:tcPr>
            <w:tcW w:type="dxa" w:w="4703"/>
            <w:shd w:val="clear" w:color="auto" w:fill="F1F5F9"/>
          </w:tcPr>
          <w:p>
            <w:pPr>
              <w:jc w:val="left"/>
            </w:pPr>
            <w:r>
              <w:rPr>
                <w:b/>
                <w:sz w:val="17"/>
              </w:rPr>
              <w:t>What happens</w:t>
            </w:r>
          </w:p>
        </w:tc>
        <w:tc>
          <w:tcPr>
            <w:tcW w:type="dxa" w:w="4703"/>
          </w:tcPr>
          <w:p>
            <w:pPr>
              <w:jc w:val="left"/>
            </w:pPr>
            <w:r>
              <w:rPr>
                <w:b w:val="0"/>
                <w:sz w:val="17"/>
              </w:rPr>
              <w:t>Unit tests run across backend and frontend suites; JUnit XML reports are published. SonarQube scanner analyses code for injection flaws, insecure patterns, and anti-patterns. A quality gate check enforces ≥ 80% line coverage and blocks the pipeline on failure.</w:t>
            </w:r>
          </w:p>
        </w:tc>
      </w:tr>
      <w:tr>
        <w:tc>
          <w:tcPr>
            <w:tcW w:type="dxa" w:w="4703"/>
            <w:shd w:val="clear" w:color="auto" w:fill="F1F5F9"/>
          </w:tcPr>
          <w:p>
            <w:pPr>
              <w:jc w:val="left"/>
            </w:pPr>
            <w:r>
              <w:rPr>
                <w:b/>
                <w:sz w:val="17"/>
              </w:rPr>
              <w:t>Evidence artefact</w:t>
            </w:r>
          </w:p>
        </w:tc>
        <w:tc>
          <w:tcPr>
            <w:tcW w:type="dxa" w:w="4703"/>
          </w:tcPr>
          <w:p>
            <w:pPr>
              <w:jc w:val="left"/>
            </w:pPr>
            <w:r>
              <w:rPr>
                <w:b w:val="0"/>
                <w:sz w:val="17"/>
              </w:rPr>
              <w:t>JUnit test report · SonarQube dashboard · coverage %</w:t>
            </w:r>
          </w:p>
        </w:tc>
      </w:tr>
    </w:tbl>
    <w:p/>
    <w:tbl>
      <w:tblPr>
        <w:tblStyle w:val="TableGrid"/>
        <w:tblW w:type="auto" w:w="0"/>
        <w:jc w:val="center"/>
        <w:tblLook w:firstColumn="1" w:firstRow="1" w:lastColumn="0" w:lastRow="0" w:noHBand="0" w:noVBand="1" w:val="04A0"/>
      </w:tblPr>
      <w:tblGrid>
        <w:gridCol w:w="4703"/>
        <w:gridCol w:w="4703"/>
      </w:tblGrid>
      <w:tr>
        <w:tc>
          <w:tcPr>
            <w:tcW w:type="dxa" w:w="9406"/>
            <w:gridSpan w:val="2"/>
            <w:shd w:val="clear" w:color="auto" w:fill="064E3B"/>
          </w:tcPr>
          <w:p>
            <w:pPr>
              <w:jc w:val="left"/>
            </w:pPr>
            <w:r>
              <w:rPr>
                <w:b/>
                <w:color w:val="FFFFFF"/>
                <w:sz w:val="19"/>
              </w:rPr>
              <w:t>Stage 4</w:t>
              <w:br/>
              <w:t>Docker Build &amp; SCA</w:t>
            </w:r>
          </w:p>
        </w:tc>
      </w:tr>
      <w:tr>
        <w:tc>
          <w:tcPr>
            <w:tcW w:type="dxa" w:w="4703"/>
            <w:shd w:val="clear" w:color="auto" w:fill="F1F5F9"/>
          </w:tcPr>
          <w:p>
            <w:pPr>
              <w:jc w:val="left"/>
            </w:pPr>
            <w:r>
              <w:rPr>
                <w:b/>
                <w:sz w:val="17"/>
              </w:rPr>
              <w:t>Agent / Control</w:t>
            </w:r>
          </w:p>
        </w:tc>
        <w:tc>
          <w:tcPr>
            <w:tcW w:type="dxa" w:w="4703"/>
          </w:tcPr>
          <w:p>
            <w:pPr>
              <w:jc w:val="left"/>
            </w:pPr>
            <w:r>
              <w:rPr>
                <w:b w:val="0"/>
                <w:sz w:val="17"/>
              </w:rPr>
              <w:t>Build Agent  ·  PRCICD-002</w:t>
            </w:r>
          </w:p>
        </w:tc>
      </w:tr>
      <w:tr>
        <w:tc>
          <w:tcPr>
            <w:tcW w:type="dxa" w:w="4703"/>
            <w:shd w:val="clear" w:color="auto" w:fill="F1F5F9"/>
          </w:tcPr>
          <w:p>
            <w:pPr>
              <w:jc w:val="left"/>
            </w:pPr>
            <w:r>
              <w:rPr>
                <w:b/>
                <w:sz w:val="17"/>
              </w:rPr>
              <w:t>Tools</w:t>
            </w:r>
          </w:p>
        </w:tc>
        <w:tc>
          <w:tcPr>
            <w:tcW w:type="dxa" w:w="4703"/>
          </w:tcPr>
          <w:p>
            <w:pPr>
              <w:jc w:val="left"/>
            </w:pPr>
            <w:r>
              <w:rPr>
                <w:b w:val="0"/>
                <w:sz w:val="17"/>
              </w:rPr>
              <w:t>Docker 24 · Trivy 0.51</w:t>
            </w:r>
          </w:p>
        </w:tc>
      </w:tr>
      <w:tr>
        <w:tc>
          <w:tcPr>
            <w:tcW w:type="dxa" w:w="4703"/>
            <w:shd w:val="clear" w:color="auto" w:fill="F1F5F9"/>
          </w:tcPr>
          <w:p>
            <w:pPr>
              <w:jc w:val="left"/>
            </w:pPr>
            <w:r>
              <w:rPr>
                <w:b/>
                <w:sz w:val="17"/>
              </w:rPr>
              <w:t>What happens</w:t>
            </w:r>
          </w:p>
        </w:tc>
        <w:tc>
          <w:tcPr>
            <w:tcW w:type="dxa" w:w="4703"/>
          </w:tcPr>
          <w:p>
            <w:pPr>
              <w:jc w:val="left"/>
            </w:pPr>
            <w:r>
              <w:rPr>
                <w:b w:val="0"/>
                <w:sz w:val="17"/>
              </w:rPr>
              <w:t>Source is containerised. Trivy scans the image for known CVEs in OS packages and application dependencies. A SBOM in CycloneDX format is generated. Zero critical CVEs are permitted; any finding halts the pipeline immediately.</w:t>
            </w:r>
          </w:p>
        </w:tc>
      </w:tr>
      <w:tr>
        <w:tc>
          <w:tcPr>
            <w:tcW w:type="dxa" w:w="4703"/>
            <w:shd w:val="clear" w:color="auto" w:fill="F1F5F9"/>
          </w:tcPr>
          <w:p>
            <w:pPr>
              <w:jc w:val="left"/>
            </w:pPr>
            <w:r>
              <w:rPr>
                <w:b/>
                <w:sz w:val="17"/>
              </w:rPr>
              <w:t>Evidence artefact</w:t>
            </w:r>
          </w:p>
        </w:tc>
        <w:tc>
          <w:tcPr>
            <w:tcW w:type="dxa" w:w="4703"/>
          </w:tcPr>
          <w:p>
            <w:pPr>
              <w:jc w:val="left"/>
            </w:pPr>
            <w:r>
              <w:rPr>
                <w:b w:val="0"/>
                <w:sz w:val="17"/>
              </w:rPr>
              <w:t>trivy-report.json · sbom.json · Docker image digest</w:t>
            </w:r>
          </w:p>
        </w:tc>
      </w:tr>
    </w:tbl>
    <w:p/>
    <w:tbl>
      <w:tblPr>
        <w:tblStyle w:val="TableGrid"/>
        <w:tblW w:type="auto" w:w="0"/>
        <w:jc w:val="center"/>
        <w:tblLook w:firstColumn="1" w:firstRow="1" w:lastColumn="0" w:lastRow="0" w:noHBand="0" w:noVBand="1" w:val="04A0"/>
      </w:tblPr>
      <w:tblGrid>
        <w:gridCol w:w="4703"/>
        <w:gridCol w:w="4703"/>
      </w:tblGrid>
      <w:tr>
        <w:tc>
          <w:tcPr>
            <w:tcW w:type="dxa" w:w="9406"/>
            <w:gridSpan w:val="2"/>
            <w:shd w:val="clear" w:color="auto" w:fill="064E3B"/>
          </w:tcPr>
          <w:p>
            <w:pPr>
              <w:jc w:val="left"/>
            </w:pPr>
            <w:r>
              <w:rPr>
                <w:b/>
                <w:color w:val="FFFFFF"/>
                <w:sz w:val="19"/>
              </w:rPr>
              <w:t>Stage 5</w:t>
              <w:br/>
              <w:t>Push Stage Registry</w:t>
            </w:r>
          </w:p>
        </w:tc>
      </w:tr>
      <w:tr>
        <w:tc>
          <w:tcPr>
            <w:tcW w:type="dxa" w:w="4703"/>
            <w:shd w:val="clear" w:color="auto" w:fill="F1F5F9"/>
          </w:tcPr>
          <w:p>
            <w:pPr>
              <w:jc w:val="left"/>
            </w:pPr>
            <w:r>
              <w:rPr>
                <w:b/>
                <w:sz w:val="17"/>
              </w:rPr>
              <w:t>Agent / Control</w:t>
            </w:r>
          </w:p>
        </w:tc>
        <w:tc>
          <w:tcPr>
            <w:tcW w:type="dxa" w:w="4703"/>
          </w:tcPr>
          <w:p>
            <w:pPr>
              <w:jc w:val="left"/>
            </w:pPr>
            <w:r>
              <w:rPr>
                <w:b w:val="0"/>
                <w:sz w:val="17"/>
              </w:rPr>
              <w:t>Build Agent  ·  PRCICD-002</w:t>
            </w:r>
          </w:p>
        </w:tc>
      </w:tr>
      <w:tr>
        <w:tc>
          <w:tcPr>
            <w:tcW w:type="dxa" w:w="4703"/>
            <w:shd w:val="clear" w:color="auto" w:fill="F1F5F9"/>
          </w:tcPr>
          <w:p>
            <w:pPr>
              <w:jc w:val="left"/>
            </w:pPr>
            <w:r>
              <w:rPr>
                <w:b/>
                <w:sz w:val="17"/>
              </w:rPr>
              <w:t>Tools</w:t>
            </w:r>
          </w:p>
        </w:tc>
        <w:tc>
          <w:tcPr>
            <w:tcW w:type="dxa" w:w="4703"/>
          </w:tcPr>
          <w:p>
            <w:pPr>
              <w:jc w:val="left"/>
            </w:pPr>
            <w:r>
              <w:rPr>
                <w:b w:val="0"/>
                <w:sz w:val="17"/>
              </w:rPr>
              <w:t>Docker registry</w:t>
            </w:r>
          </w:p>
        </w:tc>
      </w:tr>
      <w:tr>
        <w:tc>
          <w:tcPr>
            <w:tcW w:type="dxa" w:w="4703"/>
            <w:shd w:val="clear" w:color="auto" w:fill="F1F5F9"/>
          </w:tcPr>
          <w:p>
            <w:pPr>
              <w:jc w:val="left"/>
            </w:pPr>
            <w:r>
              <w:rPr>
                <w:b/>
                <w:sz w:val="17"/>
              </w:rPr>
              <w:t>What happens</w:t>
            </w:r>
          </w:p>
        </w:tc>
        <w:tc>
          <w:tcPr>
            <w:tcW w:type="dxa" w:w="4703"/>
          </w:tcPr>
          <w:p>
            <w:pPr>
              <w:jc w:val="left"/>
            </w:pPr>
            <w:r>
              <w:rPr>
                <w:b w:val="0"/>
                <w:sz w:val="17"/>
              </w:rPr>
              <w:t>Verified image is pushed to the stage registry tagged with the short commit SHA (immutable) and :latest. This is the exact binary that will travel through every downstream environment — no rebuilds between stages.</w:t>
            </w:r>
          </w:p>
        </w:tc>
      </w:tr>
      <w:tr>
        <w:tc>
          <w:tcPr>
            <w:tcW w:type="dxa" w:w="4703"/>
            <w:shd w:val="clear" w:color="auto" w:fill="F1F5F9"/>
          </w:tcPr>
          <w:p>
            <w:pPr>
              <w:jc w:val="left"/>
            </w:pPr>
            <w:r>
              <w:rPr>
                <w:b/>
                <w:sz w:val="17"/>
              </w:rPr>
              <w:t>Evidence artefact</w:t>
            </w:r>
          </w:p>
        </w:tc>
        <w:tc>
          <w:tcPr>
            <w:tcW w:type="dxa" w:w="4703"/>
          </w:tcPr>
          <w:p>
            <w:pPr>
              <w:jc w:val="left"/>
            </w:pPr>
            <w:r>
              <w:rPr>
                <w:b w:val="0"/>
                <w:sz w:val="17"/>
              </w:rPr>
              <w:t>Registry push log · image tag = commit SHA</w:t>
            </w:r>
          </w:p>
        </w:tc>
      </w:tr>
    </w:tbl>
    <w:p/>
    <w:tbl>
      <w:tblPr>
        <w:tblStyle w:val="TableGrid"/>
        <w:tblW w:type="auto" w:w="0"/>
        <w:jc w:val="center"/>
        <w:tblLook w:firstColumn="1" w:firstRow="1" w:lastColumn="0" w:lastRow="0" w:noHBand="0" w:noVBand="1" w:val="04A0"/>
      </w:tblPr>
      <w:tblGrid>
        <w:gridCol w:w="4703"/>
        <w:gridCol w:w="4703"/>
      </w:tblGrid>
      <w:tr>
        <w:tc>
          <w:tcPr>
            <w:tcW w:type="dxa" w:w="9406"/>
            <w:gridSpan w:val="2"/>
            <w:shd w:val="clear" w:color="auto" w:fill="064E3B"/>
          </w:tcPr>
          <w:p>
            <w:pPr>
              <w:jc w:val="left"/>
            </w:pPr>
            <w:r>
              <w:rPr>
                <w:b/>
                <w:color w:val="FFFFFF"/>
                <w:sz w:val="19"/>
              </w:rPr>
              <w:t>Stage 6–7</w:t>
              <w:br/>
              <w:t>Integration Tests &amp; DAST</w:t>
            </w:r>
          </w:p>
        </w:tc>
      </w:tr>
      <w:tr>
        <w:tc>
          <w:tcPr>
            <w:tcW w:type="dxa" w:w="4703"/>
            <w:shd w:val="clear" w:color="auto" w:fill="F1F5F9"/>
          </w:tcPr>
          <w:p>
            <w:pPr>
              <w:jc w:val="left"/>
            </w:pPr>
            <w:r>
              <w:rPr>
                <w:b/>
                <w:sz w:val="17"/>
              </w:rPr>
              <w:t>Agent / Control</w:t>
            </w:r>
          </w:p>
        </w:tc>
        <w:tc>
          <w:tcPr>
            <w:tcW w:type="dxa" w:w="4703"/>
          </w:tcPr>
          <w:p>
            <w:pPr>
              <w:jc w:val="left"/>
            </w:pPr>
            <w:r>
              <w:rPr>
                <w:b w:val="0"/>
                <w:sz w:val="17"/>
              </w:rPr>
              <w:t>Test Agent  ·  PRCICD-002</w:t>
            </w:r>
          </w:p>
        </w:tc>
      </w:tr>
      <w:tr>
        <w:tc>
          <w:tcPr>
            <w:tcW w:type="dxa" w:w="4703"/>
            <w:shd w:val="clear" w:color="auto" w:fill="F1F5F9"/>
          </w:tcPr>
          <w:p>
            <w:pPr>
              <w:jc w:val="left"/>
            </w:pPr>
            <w:r>
              <w:rPr>
                <w:b/>
                <w:sz w:val="17"/>
              </w:rPr>
              <w:t>Tools</w:t>
            </w:r>
          </w:p>
        </w:tc>
        <w:tc>
          <w:tcPr>
            <w:tcW w:type="dxa" w:w="4703"/>
          </w:tcPr>
          <w:p>
            <w:pPr>
              <w:jc w:val="left"/>
            </w:pPr>
            <w:r>
              <w:rPr>
                <w:b w:val="0"/>
                <w:sz w:val="17"/>
              </w:rPr>
              <w:t>Newman · OWASP ZAP</w:t>
            </w:r>
          </w:p>
        </w:tc>
      </w:tr>
      <w:tr>
        <w:tc>
          <w:tcPr>
            <w:tcW w:type="dxa" w:w="4703"/>
            <w:shd w:val="clear" w:color="auto" w:fill="F1F5F9"/>
          </w:tcPr>
          <w:p>
            <w:pPr>
              <w:jc w:val="left"/>
            </w:pPr>
            <w:r>
              <w:rPr>
                <w:b/>
                <w:sz w:val="17"/>
              </w:rPr>
              <w:t>What happens</w:t>
            </w:r>
          </w:p>
        </w:tc>
        <w:tc>
          <w:tcPr>
            <w:tcW w:type="dxa" w:w="4703"/>
          </w:tcPr>
          <w:p>
            <w:pPr>
              <w:jc w:val="left"/>
            </w:pPr>
            <w:r>
              <w:rPr>
                <w:b w:val="0"/>
                <w:sz w:val="17"/>
              </w:rPr>
              <w:t>A live container is started on the test agent. Newman executes Postman API collections verifying auth endpoints, token flows, and error codes. OWASP ZAP then runs a baseline DAST scan, simulating real-world attacks against the running application. Zero high-severity findings are required to proceed.</w:t>
            </w:r>
          </w:p>
        </w:tc>
      </w:tr>
      <w:tr>
        <w:tc>
          <w:tcPr>
            <w:tcW w:type="dxa" w:w="4703"/>
            <w:shd w:val="clear" w:color="auto" w:fill="F1F5F9"/>
          </w:tcPr>
          <w:p>
            <w:pPr>
              <w:jc w:val="left"/>
            </w:pPr>
            <w:r>
              <w:rPr>
                <w:b/>
                <w:sz w:val="17"/>
              </w:rPr>
              <w:t>Evidence artefact</w:t>
            </w:r>
          </w:p>
        </w:tc>
        <w:tc>
          <w:tcPr>
            <w:tcW w:type="dxa" w:w="4703"/>
          </w:tcPr>
          <w:p>
            <w:pPr>
              <w:jc w:val="left"/>
            </w:pPr>
            <w:r>
              <w:rPr>
                <w:b w:val="0"/>
                <w:sz w:val="17"/>
              </w:rPr>
              <w:t>integration-results.xml · zap-report.html · zap-report.xml</w:t>
            </w:r>
          </w:p>
        </w:tc>
      </w:tr>
    </w:tbl>
    <w:p/>
    <w:tbl>
      <w:tblPr>
        <w:tblStyle w:val="TableGrid"/>
        <w:tblW w:type="auto" w:w="0"/>
        <w:jc w:val="center"/>
        <w:tblLook w:firstColumn="1" w:firstRow="1" w:lastColumn="0" w:lastRow="0" w:noHBand="0" w:noVBand="1" w:val="04A0"/>
      </w:tblPr>
      <w:tblGrid>
        <w:gridCol w:w="4703"/>
        <w:gridCol w:w="4703"/>
      </w:tblGrid>
      <w:tr>
        <w:tc>
          <w:tcPr>
            <w:tcW w:type="dxa" w:w="9406"/>
            <w:gridSpan w:val="2"/>
            <w:shd w:val="clear" w:color="auto" w:fill="1E3A5F"/>
          </w:tcPr>
          <w:p>
            <w:pPr>
              <w:jc w:val="left"/>
            </w:pPr>
            <w:r>
              <w:rPr>
                <w:b/>
                <w:color w:val="FFFFFF"/>
                <w:sz w:val="19"/>
              </w:rPr>
              <w:t>Stage 8</w:t>
              <w:br/>
              <w:t>Deploy to Staging (K8s)</w:t>
            </w:r>
          </w:p>
        </w:tc>
      </w:tr>
      <w:tr>
        <w:tc>
          <w:tcPr>
            <w:tcW w:type="dxa" w:w="4703"/>
            <w:shd w:val="clear" w:color="auto" w:fill="F1F5F9"/>
          </w:tcPr>
          <w:p>
            <w:pPr>
              <w:jc w:val="left"/>
            </w:pPr>
            <w:r>
              <w:rPr>
                <w:b/>
                <w:sz w:val="17"/>
              </w:rPr>
              <w:t>Agent / Control</w:t>
            </w:r>
          </w:p>
        </w:tc>
        <w:tc>
          <w:tcPr>
            <w:tcW w:type="dxa" w:w="4703"/>
          </w:tcPr>
          <w:p>
            <w:pPr>
              <w:jc w:val="left"/>
            </w:pPr>
            <w:r>
              <w:rPr>
                <w:b w:val="0"/>
                <w:sz w:val="17"/>
              </w:rPr>
              <w:t>Deploy Agent  ·  PRCICD-001</w:t>
            </w:r>
          </w:p>
        </w:tc>
      </w:tr>
      <w:tr>
        <w:tc>
          <w:tcPr>
            <w:tcW w:type="dxa" w:w="4703"/>
            <w:shd w:val="clear" w:color="auto" w:fill="F1F5F9"/>
          </w:tcPr>
          <w:p>
            <w:pPr>
              <w:jc w:val="left"/>
            </w:pPr>
            <w:r>
              <w:rPr>
                <w:b/>
                <w:sz w:val="17"/>
              </w:rPr>
              <w:t>Tools</w:t>
            </w:r>
          </w:p>
        </w:tc>
        <w:tc>
          <w:tcPr>
            <w:tcW w:type="dxa" w:w="4703"/>
          </w:tcPr>
          <w:p>
            <w:pPr>
              <w:jc w:val="left"/>
            </w:pPr>
            <w:r>
              <w:rPr>
                <w:b w:val="0"/>
                <w:sz w:val="17"/>
              </w:rPr>
              <w:t>kubectl · Kubernetes</w:t>
            </w:r>
          </w:p>
        </w:tc>
      </w:tr>
      <w:tr>
        <w:tc>
          <w:tcPr>
            <w:tcW w:type="dxa" w:w="4703"/>
            <w:shd w:val="clear" w:color="auto" w:fill="F1F5F9"/>
          </w:tcPr>
          <w:p>
            <w:pPr>
              <w:jc w:val="left"/>
            </w:pPr>
            <w:r>
              <w:rPr>
                <w:b/>
                <w:sz w:val="17"/>
              </w:rPr>
              <w:t>What happens</w:t>
            </w:r>
          </w:p>
        </w:tc>
        <w:tc>
          <w:tcPr>
            <w:tcW w:type="dxa" w:w="4703"/>
          </w:tcPr>
          <w:p>
            <w:pPr>
              <w:jc w:val="left"/>
            </w:pPr>
            <w:r>
              <w:rPr>
                <w:b w:val="0"/>
                <w:sz w:val="17"/>
              </w:rPr>
              <w:t>Deploy agent runs kubectl set image against the mern-auth-staging namespace. Kubernetes performs a rolling update; rollout status is polled until complete. A curl smoke test confirms the /health endpoint returns HTTP 200 before the gate opens.</w:t>
            </w:r>
          </w:p>
        </w:tc>
      </w:tr>
      <w:tr>
        <w:tc>
          <w:tcPr>
            <w:tcW w:type="dxa" w:w="4703"/>
            <w:shd w:val="clear" w:color="auto" w:fill="F1F5F9"/>
          </w:tcPr>
          <w:p>
            <w:pPr>
              <w:jc w:val="left"/>
            </w:pPr>
            <w:r>
              <w:rPr>
                <w:b/>
                <w:sz w:val="17"/>
              </w:rPr>
              <w:t>Evidence artefact</w:t>
            </w:r>
          </w:p>
        </w:tc>
        <w:tc>
          <w:tcPr>
            <w:tcW w:type="dxa" w:w="4703"/>
          </w:tcPr>
          <w:p>
            <w:pPr>
              <w:jc w:val="left"/>
            </w:pPr>
            <w:r>
              <w:rPr>
                <w:b w:val="0"/>
                <w:sz w:val="17"/>
              </w:rPr>
              <w:t>kubectl rollout output · smoke test log</w:t>
            </w:r>
          </w:p>
        </w:tc>
      </w:tr>
    </w:tbl>
    <w:p/>
    <w:tbl>
      <w:tblPr>
        <w:tblStyle w:val="TableGrid"/>
        <w:tblW w:type="auto" w:w="0"/>
        <w:jc w:val="center"/>
        <w:tblLook w:firstColumn="1" w:firstRow="1" w:lastColumn="0" w:lastRow="0" w:noHBand="0" w:noVBand="1" w:val="04A0"/>
      </w:tblPr>
      <w:tblGrid>
        <w:gridCol w:w="4703"/>
        <w:gridCol w:w="4703"/>
      </w:tblGrid>
      <w:tr>
        <w:tc>
          <w:tcPr>
            <w:tcW w:type="dxa" w:w="9406"/>
            <w:gridSpan w:val="2"/>
            <w:shd w:val="clear" w:color="auto" w:fill="1E3A5F"/>
          </w:tcPr>
          <w:p>
            <w:pPr>
              <w:jc w:val="left"/>
            </w:pPr>
            <w:r>
              <w:rPr>
                <w:b/>
                <w:color w:val="FFFFFF"/>
                <w:sz w:val="19"/>
              </w:rPr>
              <w:t>Stage 9</w:t>
              <w:br/>
              <w:t>Manual Approval Gate</w:t>
            </w:r>
          </w:p>
        </w:tc>
      </w:tr>
      <w:tr>
        <w:tc>
          <w:tcPr>
            <w:tcW w:type="dxa" w:w="4703"/>
            <w:shd w:val="clear" w:color="auto" w:fill="F1F5F9"/>
          </w:tcPr>
          <w:p>
            <w:pPr>
              <w:jc w:val="left"/>
            </w:pPr>
            <w:r>
              <w:rPr>
                <w:b/>
                <w:sz w:val="17"/>
              </w:rPr>
              <w:t>Agent / Control</w:t>
            </w:r>
          </w:p>
        </w:tc>
        <w:tc>
          <w:tcPr>
            <w:tcW w:type="dxa" w:w="4703"/>
          </w:tcPr>
          <w:p>
            <w:pPr>
              <w:jc w:val="left"/>
            </w:pPr>
            <w:r>
              <w:rPr>
                <w:b w:val="0"/>
                <w:sz w:val="17"/>
              </w:rPr>
              <w:t>Master (no agent)  ·  PRCICD-001</w:t>
            </w:r>
          </w:p>
        </w:tc>
      </w:tr>
      <w:tr>
        <w:tc>
          <w:tcPr>
            <w:tcW w:type="dxa" w:w="4703"/>
            <w:shd w:val="clear" w:color="auto" w:fill="F1F5F9"/>
          </w:tcPr>
          <w:p>
            <w:pPr>
              <w:jc w:val="left"/>
            </w:pPr>
            <w:r>
              <w:rPr>
                <w:b/>
                <w:sz w:val="17"/>
              </w:rPr>
              <w:t>Tools</w:t>
            </w:r>
          </w:p>
        </w:tc>
        <w:tc>
          <w:tcPr>
            <w:tcW w:type="dxa" w:w="4703"/>
          </w:tcPr>
          <w:p>
            <w:pPr>
              <w:jc w:val="left"/>
            </w:pPr>
            <w:r>
              <w:rPr>
                <w:b w:val="0"/>
                <w:sz w:val="17"/>
              </w:rPr>
              <w:t>Jenkins Input Step · Slack</w:t>
            </w:r>
          </w:p>
        </w:tc>
      </w:tr>
      <w:tr>
        <w:tc>
          <w:tcPr>
            <w:tcW w:type="dxa" w:w="4703"/>
            <w:shd w:val="clear" w:color="auto" w:fill="F1F5F9"/>
          </w:tcPr>
          <w:p>
            <w:pPr>
              <w:jc w:val="left"/>
            </w:pPr>
            <w:r>
              <w:rPr>
                <w:b/>
                <w:sz w:val="17"/>
              </w:rPr>
              <w:t>What happens</w:t>
            </w:r>
          </w:p>
        </w:tc>
        <w:tc>
          <w:tcPr>
            <w:tcW w:type="dxa" w:w="4703"/>
          </w:tcPr>
          <w:p>
            <w:pPr>
              <w:jc w:val="left"/>
            </w:pPr>
            <w:r>
              <w:rPr>
                <w:b w:val="0"/>
                <w:sz w:val="17"/>
              </w:rPr>
              <w:t>Pipeline pauses. An SNS/Slack notification is sent to the release manager with links to the SonarQube report, Trivy CVE report, ZAP DAST report, and test coverage. The approver reviews all evidence and clicks Approve or Reject. The approver identity and timestamp are captured in the Jenkins build record.</w:t>
            </w:r>
          </w:p>
        </w:tc>
      </w:tr>
      <w:tr>
        <w:tc>
          <w:tcPr>
            <w:tcW w:type="dxa" w:w="4703"/>
            <w:shd w:val="clear" w:color="auto" w:fill="F1F5F9"/>
          </w:tcPr>
          <w:p>
            <w:pPr>
              <w:jc w:val="left"/>
            </w:pPr>
            <w:r>
              <w:rPr>
                <w:b/>
                <w:sz w:val="17"/>
              </w:rPr>
              <w:t>Evidence artefact</w:t>
            </w:r>
          </w:p>
        </w:tc>
        <w:tc>
          <w:tcPr>
            <w:tcW w:type="dxa" w:w="4703"/>
          </w:tcPr>
          <w:p>
            <w:pPr>
              <w:jc w:val="left"/>
            </w:pPr>
            <w:r>
              <w:rPr>
                <w:b w:val="0"/>
                <w:sz w:val="17"/>
              </w:rPr>
              <w:t>Approval record: approver name + timestamp in build history</w:t>
            </w:r>
          </w:p>
        </w:tc>
      </w:tr>
    </w:tbl>
    <w:p/>
    <w:tbl>
      <w:tblPr>
        <w:tblStyle w:val="TableGrid"/>
        <w:tblW w:type="auto" w:w="0"/>
        <w:jc w:val="center"/>
        <w:tblLook w:firstColumn="1" w:firstRow="1" w:lastColumn="0" w:lastRow="0" w:noHBand="0" w:noVBand="1" w:val="04A0"/>
      </w:tblPr>
      <w:tblGrid>
        <w:gridCol w:w="4703"/>
        <w:gridCol w:w="4703"/>
      </w:tblGrid>
      <w:tr>
        <w:tc>
          <w:tcPr>
            <w:tcW w:type="dxa" w:w="9406"/>
            <w:gridSpan w:val="2"/>
            <w:shd w:val="clear" w:color="auto" w:fill="1E3A5F"/>
          </w:tcPr>
          <w:p>
            <w:pPr>
              <w:jc w:val="left"/>
            </w:pPr>
            <w:r>
              <w:rPr>
                <w:b/>
                <w:color w:val="FFFFFF"/>
                <w:sz w:val="19"/>
              </w:rPr>
              <w:t>Stage 10</w:t>
              <w:br/>
              <w:t>Push Prod Registry</w:t>
            </w:r>
          </w:p>
        </w:tc>
      </w:tr>
      <w:tr>
        <w:tc>
          <w:tcPr>
            <w:tcW w:type="dxa" w:w="4703"/>
            <w:shd w:val="clear" w:color="auto" w:fill="F1F5F9"/>
          </w:tcPr>
          <w:p>
            <w:pPr>
              <w:jc w:val="left"/>
            </w:pPr>
            <w:r>
              <w:rPr>
                <w:b/>
                <w:sz w:val="17"/>
              </w:rPr>
              <w:t>Agent / Control</w:t>
            </w:r>
          </w:p>
        </w:tc>
        <w:tc>
          <w:tcPr>
            <w:tcW w:type="dxa" w:w="4703"/>
          </w:tcPr>
          <w:p>
            <w:pPr>
              <w:jc w:val="left"/>
            </w:pPr>
            <w:r>
              <w:rPr>
                <w:b w:val="0"/>
                <w:sz w:val="17"/>
              </w:rPr>
              <w:t>Build Agent  ·  PRCICD-001</w:t>
            </w:r>
          </w:p>
        </w:tc>
      </w:tr>
      <w:tr>
        <w:tc>
          <w:tcPr>
            <w:tcW w:type="dxa" w:w="4703"/>
            <w:shd w:val="clear" w:color="auto" w:fill="F1F5F9"/>
          </w:tcPr>
          <w:p>
            <w:pPr>
              <w:jc w:val="left"/>
            </w:pPr>
            <w:r>
              <w:rPr>
                <w:b/>
                <w:sz w:val="17"/>
              </w:rPr>
              <w:t>Tools</w:t>
            </w:r>
          </w:p>
        </w:tc>
        <w:tc>
          <w:tcPr>
            <w:tcW w:type="dxa" w:w="4703"/>
          </w:tcPr>
          <w:p>
            <w:pPr>
              <w:jc w:val="left"/>
            </w:pPr>
            <w:r>
              <w:rPr>
                <w:b w:val="0"/>
                <w:sz w:val="17"/>
              </w:rPr>
              <w:t>Docker registry</w:t>
            </w:r>
          </w:p>
        </w:tc>
      </w:tr>
      <w:tr>
        <w:tc>
          <w:tcPr>
            <w:tcW w:type="dxa" w:w="4703"/>
            <w:shd w:val="clear" w:color="auto" w:fill="F1F5F9"/>
          </w:tcPr>
          <w:p>
            <w:pPr>
              <w:jc w:val="left"/>
            </w:pPr>
            <w:r>
              <w:rPr>
                <w:b/>
                <w:sz w:val="17"/>
              </w:rPr>
              <w:t>What happens</w:t>
            </w:r>
          </w:p>
        </w:tc>
        <w:tc>
          <w:tcPr>
            <w:tcW w:type="dxa" w:w="4703"/>
          </w:tcPr>
          <w:p>
            <w:pPr>
              <w:jc w:val="left"/>
            </w:pPr>
            <w:r>
              <w:rPr>
                <w:b w:val="0"/>
                <w:sz w:val="17"/>
              </w:rPr>
              <w:t>Staging-validated image is retagged and pushed to the separate prod registry (registry.internal/mern-auth-prod) with the commit SHA tag and :stable. Separate registries provide an audit boundary between non-production and production images.</w:t>
            </w:r>
          </w:p>
        </w:tc>
      </w:tr>
      <w:tr>
        <w:tc>
          <w:tcPr>
            <w:tcW w:type="dxa" w:w="4703"/>
            <w:shd w:val="clear" w:color="auto" w:fill="F1F5F9"/>
          </w:tcPr>
          <w:p>
            <w:pPr>
              <w:jc w:val="left"/>
            </w:pPr>
            <w:r>
              <w:rPr>
                <w:b/>
                <w:sz w:val="17"/>
              </w:rPr>
              <w:t>Evidence artefact</w:t>
            </w:r>
          </w:p>
        </w:tc>
        <w:tc>
          <w:tcPr>
            <w:tcW w:type="dxa" w:w="4703"/>
          </w:tcPr>
          <w:p>
            <w:pPr>
              <w:jc w:val="left"/>
            </w:pPr>
            <w:r>
              <w:rPr>
                <w:b w:val="0"/>
                <w:sz w:val="17"/>
              </w:rPr>
              <w:t>Prod registry push log · :stable tag</w:t>
            </w:r>
          </w:p>
        </w:tc>
      </w:tr>
    </w:tbl>
    <w:p/>
    <w:tbl>
      <w:tblPr>
        <w:tblStyle w:val="TableGrid"/>
        <w:tblW w:type="auto" w:w="0"/>
        <w:jc w:val="center"/>
        <w:tblLook w:firstColumn="1" w:firstRow="1" w:lastColumn="0" w:lastRow="0" w:noHBand="0" w:noVBand="1" w:val="04A0"/>
      </w:tblPr>
      <w:tblGrid>
        <w:gridCol w:w="4703"/>
        <w:gridCol w:w="4703"/>
      </w:tblGrid>
      <w:tr>
        <w:tc>
          <w:tcPr>
            <w:tcW w:type="dxa" w:w="9406"/>
            <w:gridSpan w:val="2"/>
            <w:shd w:val="clear" w:color="auto" w:fill="1E3A5F"/>
          </w:tcPr>
          <w:p>
            <w:pPr>
              <w:jc w:val="left"/>
            </w:pPr>
            <w:r>
              <w:rPr>
                <w:b/>
                <w:color w:val="FFFFFF"/>
                <w:sz w:val="19"/>
              </w:rPr>
              <w:t>Stage 11</w:t>
              <w:br/>
              <w:t>Prod Deploy — Blue/Green</w:t>
            </w:r>
          </w:p>
        </w:tc>
      </w:tr>
      <w:tr>
        <w:tc>
          <w:tcPr>
            <w:tcW w:type="dxa" w:w="4703"/>
            <w:shd w:val="clear" w:color="auto" w:fill="F1F5F9"/>
          </w:tcPr>
          <w:p>
            <w:pPr>
              <w:jc w:val="left"/>
            </w:pPr>
            <w:r>
              <w:rPr>
                <w:b/>
                <w:sz w:val="17"/>
              </w:rPr>
              <w:t>Agent / Control</w:t>
            </w:r>
          </w:p>
        </w:tc>
        <w:tc>
          <w:tcPr>
            <w:tcW w:type="dxa" w:w="4703"/>
          </w:tcPr>
          <w:p>
            <w:pPr>
              <w:jc w:val="left"/>
            </w:pPr>
            <w:r>
              <w:rPr>
                <w:b w:val="0"/>
                <w:sz w:val="17"/>
              </w:rPr>
              <w:t>Deploy Agent  ·  PRCICD-001</w:t>
            </w:r>
          </w:p>
        </w:tc>
      </w:tr>
      <w:tr>
        <w:tc>
          <w:tcPr>
            <w:tcW w:type="dxa" w:w="4703"/>
            <w:shd w:val="clear" w:color="auto" w:fill="F1F5F9"/>
          </w:tcPr>
          <w:p>
            <w:pPr>
              <w:jc w:val="left"/>
            </w:pPr>
            <w:r>
              <w:rPr>
                <w:b/>
                <w:sz w:val="17"/>
              </w:rPr>
              <w:t>Tools</w:t>
            </w:r>
          </w:p>
        </w:tc>
        <w:tc>
          <w:tcPr>
            <w:tcW w:type="dxa" w:w="4703"/>
          </w:tcPr>
          <w:p>
            <w:pPr>
              <w:jc w:val="left"/>
            </w:pPr>
            <w:r>
              <w:rPr>
                <w:b w:val="0"/>
                <w:sz w:val="17"/>
              </w:rPr>
              <w:t>kubectl · Blue/Green strategy</w:t>
            </w:r>
          </w:p>
        </w:tc>
      </w:tr>
      <w:tr>
        <w:tc>
          <w:tcPr>
            <w:tcW w:type="dxa" w:w="4703"/>
            <w:shd w:val="clear" w:color="auto" w:fill="F1F5F9"/>
          </w:tcPr>
          <w:p>
            <w:pPr>
              <w:jc w:val="left"/>
            </w:pPr>
            <w:r>
              <w:rPr>
                <w:b/>
                <w:sz w:val="17"/>
              </w:rPr>
              <w:t>What happens</w:t>
            </w:r>
          </w:p>
        </w:tc>
        <w:tc>
          <w:tcPr>
            <w:tcW w:type="dxa" w:w="4703"/>
          </w:tcPr>
          <w:p>
            <w:pPr>
              <w:jc w:val="left"/>
            </w:pPr>
            <w:r>
              <w:rPr>
                <w:b w:val="0"/>
                <w:sz w:val="17"/>
              </w:rPr>
              <w:t>The new image is deployed to the Green Deployment in the mern-auth-production namespace. Once all Green pods pass readiness probes, the mern-auth-prod Service selector is patched to slot=green, shifting 100% of traffic with zero downtime. Blue remains live and idle for instant rollback.</w:t>
            </w:r>
          </w:p>
        </w:tc>
      </w:tr>
      <w:tr>
        <w:tc>
          <w:tcPr>
            <w:tcW w:type="dxa" w:w="4703"/>
            <w:shd w:val="clear" w:color="auto" w:fill="F1F5F9"/>
          </w:tcPr>
          <w:p>
            <w:pPr>
              <w:jc w:val="left"/>
            </w:pPr>
            <w:r>
              <w:rPr>
                <w:b/>
                <w:sz w:val="17"/>
              </w:rPr>
              <w:t>Evidence artefact</w:t>
            </w:r>
          </w:p>
        </w:tc>
        <w:tc>
          <w:tcPr>
            <w:tcW w:type="dxa" w:w="4703"/>
          </w:tcPr>
          <w:p>
            <w:pPr>
              <w:jc w:val="left"/>
            </w:pPr>
            <w:r>
              <w:rPr>
                <w:b w:val="0"/>
                <w:sz w:val="17"/>
              </w:rPr>
              <w:t>kubectl patch output · Service selector change log</w:t>
            </w:r>
          </w:p>
        </w:tc>
      </w:tr>
    </w:tbl>
    <w:p/>
    <w:tbl>
      <w:tblPr>
        <w:tblStyle w:val="TableGrid"/>
        <w:tblW w:type="auto" w:w="0"/>
        <w:jc w:val="center"/>
        <w:tblLook w:firstColumn="1" w:firstRow="1" w:lastColumn="0" w:lastRow="0" w:noHBand="0" w:noVBand="1" w:val="04A0"/>
      </w:tblPr>
      <w:tblGrid>
        <w:gridCol w:w="4703"/>
        <w:gridCol w:w="4703"/>
      </w:tblGrid>
      <w:tr>
        <w:tc>
          <w:tcPr>
            <w:tcW w:type="dxa" w:w="9406"/>
            <w:gridSpan w:val="2"/>
            <w:shd w:val="clear" w:color="auto" w:fill="1E3A5F"/>
          </w:tcPr>
          <w:p>
            <w:pPr>
              <w:jc w:val="left"/>
            </w:pPr>
            <w:r>
              <w:rPr>
                <w:b/>
                <w:color w:val="FFFFFF"/>
                <w:sz w:val="19"/>
              </w:rPr>
              <w:t>Stage 12</w:t>
              <w:br/>
              <w:t>Prometheus Monitor &amp; Rollback</w:t>
            </w:r>
          </w:p>
        </w:tc>
      </w:tr>
      <w:tr>
        <w:tc>
          <w:tcPr>
            <w:tcW w:type="dxa" w:w="4703"/>
            <w:shd w:val="clear" w:color="auto" w:fill="F1F5F9"/>
          </w:tcPr>
          <w:p>
            <w:pPr>
              <w:jc w:val="left"/>
            </w:pPr>
            <w:r>
              <w:rPr>
                <w:b/>
                <w:sz w:val="17"/>
              </w:rPr>
              <w:t>Agent / Control</w:t>
            </w:r>
          </w:p>
        </w:tc>
        <w:tc>
          <w:tcPr>
            <w:tcW w:type="dxa" w:w="4703"/>
          </w:tcPr>
          <w:p>
            <w:pPr>
              <w:jc w:val="left"/>
            </w:pPr>
            <w:r>
              <w:rPr>
                <w:b w:val="0"/>
                <w:sz w:val="17"/>
              </w:rPr>
              <w:t>Test Agent  ·  PRCICD-001</w:t>
            </w:r>
          </w:p>
        </w:tc>
      </w:tr>
      <w:tr>
        <w:tc>
          <w:tcPr>
            <w:tcW w:type="dxa" w:w="4703"/>
            <w:shd w:val="clear" w:color="auto" w:fill="F1F5F9"/>
          </w:tcPr>
          <w:p>
            <w:pPr>
              <w:jc w:val="left"/>
            </w:pPr>
            <w:r>
              <w:rPr>
                <w:b/>
                <w:sz w:val="17"/>
              </w:rPr>
              <w:t>Tools</w:t>
            </w:r>
          </w:p>
        </w:tc>
        <w:tc>
          <w:tcPr>
            <w:tcW w:type="dxa" w:w="4703"/>
          </w:tcPr>
          <w:p>
            <w:pPr>
              <w:jc w:val="left"/>
            </w:pPr>
            <w:r>
              <w:rPr>
                <w:b w:val="0"/>
                <w:sz w:val="17"/>
              </w:rPr>
              <w:t>Prometheus API</w:t>
            </w:r>
          </w:p>
        </w:tc>
      </w:tr>
      <w:tr>
        <w:tc>
          <w:tcPr>
            <w:tcW w:type="dxa" w:w="4703"/>
            <w:shd w:val="clear" w:color="auto" w:fill="F1F5F9"/>
          </w:tcPr>
          <w:p>
            <w:pPr>
              <w:jc w:val="left"/>
            </w:pPr>
            <w:r>
              <w:rPr>
                <w:b/>
                <w:sz w:val="17"/>
              </w:rPr>
              <w:t>What happens</w:t>
            </w:r>
          </w:p>
        </w:tc>
        <w:tc>
          <w:tcPr>
            <w:tcW w:type="dxa" w:w="4703"/>
          </w:tcPr>
          <w:p>
            <w:pPr>
              <w:jc w:val="left"/>
            </w:pPr>
            <w:r>
              <w:rPr>
                <w:b w:val="0"/>
                <w:sz w:val="17"/>
              </w:rPr>
              <w:t>For five minutes after traffic switch, the test agent polls Prometheus every 30 seconds for the production HTTP 5xx error rate. If the rate exceeds 5%, the pipeline automatically patches the Service selector back to slot=blue, reverting to the previous stable version with no human intervention required.</w:t>
            </w:r>
          </w:p>
        </w:tc>
      </w:tr>
      <w:tr>
        <w:tc>
          <w:tcPr>
            <w:tcW w:type="dxa" w:w="4703"/>
            <w:shd w:val="clear" w:color="auto" w:fill="F1F5F9"/>
          </w:tcPr>
          <w:p>
            <w:pPr>
              <w:jc w:val="left"/>
            </w:pPr>
            <w:r>
              <w:rPr>
                <w:b/>
                <w:sz w:val="17"/>
              </w:rPr>
              <w:t>Evidence artefact</w:t>
            </w:r>
          </w:p>
        </w:tc>
        <w:tc>
          <w:tcPr>
            <w:tcW w:type="dxa" w:w="4703"/>
          </w:tcPr>
          <w:p>
            <w:pPr>
              <w:jc w:val="left"/>
            </w:pPr>
            <w:r>
              <w:rPr>
                <w:b w:val="0"/>
                <w:sz w:val="17"/>
              </w:rPr>
              <w:t>Prometheus query results · rollback log (if triggered)</w:t>
            </w:r>
          </w:p>
        </w:tc>
      </w:tr>
    </w:tbl>
    <w:p/>
    <w:p>
      <w:pPr>
        <w:spacing w:before="280" w:after="80"/>
        <w:jc w:val="left"/>
      </w:pPr>
      <w:r>
        <w:rPr>
          <w:b/>
          <w:color w:val="1E3A5F"/>
          <w:sz w:val="26"/>
        </w:rPr>
        <w:t>5. Evidence Summary</w:t>
      </w:r>
    </w:p>
    <w:p>
      <w:pPr>
        <w:spacing w:after="120"/>
      </w:pPr>
      <w:r>
        <w:rPr>
          <w:i w:val="0"/>
          <w:sz w:val="18"/>
        </w:rPr>
        <w:t>The following artefacts should be attached to the APN competency case study submission: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E293B"/>
          </w:tcPr>
          <w:p>
            <w:pPr>
              <w:jc w:val="left"/>
            </w:pPr>
            <w:r>
              <w:rPr>
                <w:b/>
                <w:color w:val="FFFFFF"/>
                <w:sz w:val="18"/>
              </w:rPr>
              <w:t>Control</w:t>
            </w:r>
          </w:p>
        </w:tc>
        <w:tc>
          <w:tcPr>
            <w:tcW w:type="dxa" w:w="3135"/>
            <w:shd w:val="clear" w:color="auto" w:fill="1E293B"/>
          </w:tcPr>
          <w:p>
            <w:pPr>
              <w:jc w:val="left"/>
            </w:pPr>
            <w:r>
              <w:rPr>
                <w:b/>
                <w:color w:val="FFFFFF"/>
                <w:sz w:val="18"/>
              </w:rPr>
              <w:t>Artefact</w:t>
            </w:r>
          </w:p>
        </w:tc>
        <w:tc>
          <w:tcPr>
            <w:tcW w:type="dxa" w:w="3135"/>
            <w:shd w:val="clear" w:color="auto" w:fill="1E293B"/>
          </w:tcPr>
          <w:p>
            <w:pPr>
              <w:jc w:val="left"/>
            </w:pPr>
            <w:r>
              <w:rPr>
                <w:b/>
                <w:color w:val="FFFFFF"/>
                <w:sz w:val="18"/>
              </w:rPr>
              <w:t>Source</w:t>
            </w:r>
          </w:p>
        </w:tc>
      </w:tr>
      <w:tr>
        <w:tc>
          <w:tcPr>
            <w:tcW w:type="dxa" w:w="3135"/>
            <w:shd w:val="clear" w:color="auto" w:fill="DBEAFE"/>
          </w:tcPr>
          <w:p>
            <w:pPr>
              <w:jc w:val="left"/>
            </w:pPr>
            <w:r>
              <w:rPr>
                <w:b/>
                <w:sz w:val="17"/>
              </w:rPr>
              <w:t>PRCICD-001</w:t>
            </w:r>
          </w:p>
        </w:tc>
        <w:tc>
          <w:tcPr>
            <w:tcW w:type="dxa" w:w="3135"/>
          </w:tcPr>
          <w:p>
            <w:pPr>
              <w:jc w:val="left"/>
            </w:pPr>
            <w:r>
              <w:rPr>
                <w:b w:val="0"/>
                <w:sz w:val="17"/>
              </w:rPr>
              <w:t>Multibranch Pipeline definition + branching strategy</w:t>
            </w:r>
          </w:p>
        </w:tc>
        <w:tc>
          <w:tcPr>
            <w:tcW w:type="dxa" w:w="3135"/>
          </w:tcPr>
          <w:p>
            <w:pPr>
              <w:jc w:val="left"/>
            </w:pPr>
            <w:r>
              <w:rPr>
                <w:b w:val="0"/>
                <w:color w:val="475569"/>
                <w:sz w:val="17"/>
              </w:rPr>
              <w:t>Jenkins → Configure → Pipeline script</w:t>
            </w:r>
          </w:p>
        </w:tc>
      </w:tr>
      <w:tr>
        <w:tc>
          <w:tcPr>
            <w:tcW w:type="dxa" w:w="3135"/>
            <w:shd w:val="clear" w:color="auto" w:fill="DBEAFE"/>
          </w:tcPr>
          <w:p>
            <w:pPr>
              <w:jc w:val="left"/>
            </w:pPr>
            <w:r>
              <w:rPr>
                <w:b/>
                <w:sz w:val="17"/>
              </w:rPr>
              <w:t>PRCICD-001</w:t>
            </w:r>
          </w:p>
        </w:tc>
        <w:tc>
          <w:tcPr>
            <w:tcW w:type="dxa" w:w="3135"/>
          </w:tcPr>
          <w:p>
            <w:pPr>
              <w:jc w:val="left"/>
            </w:pPr>
            <w:r>
              <w:rPr>
                <w:b w:val="0"/>
                <w:sz w:val="17"/>
              </w:rPr>
              <w:t>Manual approval record (approver + timestamp)</w:t>
            </w:r>
          </w:p>
        </w:tc>
        <w:tc>
          <w:tcPr>
            <w:tcW w:type="dxa" w:w="3135"/>
          </w:tcPr>
          <w:p>
            <w:pPr>
              <w:jc w:val="left"/>
            </w:pPr>
            <w:r>
              <w:rPr>
                <w:b w:val="0"/>
                <w:color w:val="475569"/>
                <w:sz w:val="17"/>
              </w:rPr>
              <w:t>Jenkins Build #N → Input step log</w:t>
            </w:r>
          </w:p>
        </w:tc>
      </w:tr>
      <w:tr>
        <w:tc>
          <w:tcPr>
            <w:tcW w:type="dxa" w:w="3135"/>
            <w:shd w:val="clear" w:color="auto" w:fill="DBEAFE"/>
          </w:tcPr>
          <w:p>
            <w:pPr>
              <w:jc w:val="left"/>
            </w:pPr>
            <w:r>
              <w:rPr>
                <w:b/>
                <w:sz w:val="17"/>
              </w:rPr>
              <w:t>PRCICD-001</w:t>
            </w:r>
          </w:p>
        </w:tc>
        <w:tc>
          <w:tcPr>
            <w:tcW w:type="dxa" w:w="3135"/>
          </w:tcPr>
          <w:p>
            <w:pPr>
              <w:jc w:val="left"/>
            </w:pPr>
            <w:r>
              <w:rPr>
                <w:b w:val="0"/>
                <w:sz w:val="17"/>
              </w:rPr>
              <w:t>Blue/Green deployment log + traffic switch</w:t>
            </w:r>
          </w:p>
        </w:tc>
        <w:tc>
          <w:tcPr>
            <w:tcW w:type="dxa" w:w="3135"/>
          </w:tcPr>
          <w:p>
            <w:pPr>
              <w:jc w:val="left"/>
            </w:pPr>
            <w:r>
              <w:rPr>
                <w:b w:val="0"/>
                <w:color w:val="475569"/>
                <w:sz w:val="17"/>
              </w:rPr>
              <w:t>kubectl output archived in Jenkins</w:t>
            </w:r>
          </w:p>
        </w:tc>
      </w:tr>
      <w:tr>
        <w:tc>
          <w:tcPr>
            <w:tcW w:type="dxa" w:w="3135"/>
            <w:shd w:val="clear" w:color="auto" w:fill="DBEAFE"/>
          </w:tcPr>
          <w:p>
            <w:pPr>
              <w:jc w:val="left"/>
            </w:pPr>
            <w:r>
              <w:rPr>
                <w:b/>
                <w:sz w:val="17"/>
              </w:rPr>
              <w:t>PRCICD-001</w:t>
            </w:r>
          </w:p>
        </w:tc>
        <w:tc>
          <w:tcPr>
            <w:tcW w:type="dxa" w:w="3135"/>
          </w:tcPr>
          <w:p>
            <w:pPr>
              <w:jc w:val="left"/>
            </w:pPr>
            <w:r>
              <w:rPr>
                <w:b w:val="0"/>
                <w:sz w:val="17"/>
              </w:rPr>
              <w:t>Prometheus rollback log (or "no rollback" confirmation)</w:t>
            </w:r>
          </w:p>
        </w:tc>
        <w:tc>
          <w:tcPr>
            <w:tcW w:type="dxa" w:w="3135"/>
          </w:tcPr>
          <w:p>
            <w:pPr>
              <w:jc w:val="left"/>
            </w:pPr>
            <w:r>
              <w:rPr>
                <w:b w:val="0"/>
                <w:color w:val="475569"/>
                <w:sz w:val="17"/>
              </w:rPr>
              <w:t>Pipeline Stage 12 console log</w:t>
            </w:r>
          </w:p>
        </w:tc>
      </w:tr>
      <w:tr>
        <w:tc>
          <w:tcPr>
            <w:tcW w:type="dxa" w:w="3135"/>
            <w:shd w:val="clear" w:color="auto" w:fill="D1FAE5"/>
          </w:tcPr>
          <w:p>
            <w:pPr>
              <w:jc w:val="left"/>
            </w:pPr>
            <w:r>
              <w:rPr>
                <w:b/>
                <w:sz w:val="17"/>
              </w:rPr>
              <w:t>PRCICD-002</w:t>
            </w:r>
          </w:p>
        </w:tc>
        <w:tc>
          <w:tcPr>
            <w:tcW w:type="dxa" w:w="3135"/>
          </w:tcPr>
          <w:p>
            <w:pPr>
              <w:jc w:val="left"/>
            </w:pPr>
            <w:r>
              <w:rPr>
                <w:b w:val="0"/>
                <w:sz w:val="17"/>
              </w:rPr>
              <w:t>buildspec / Jenkinsfile showing compile + test commands</w:t>
            </w:r>
          </w:p>
        </w:tc>
        <w:tc>
          <w:tcPr>
            <w:tcW w:type="dxa" w:w="3135"/>
          </w:tcPr>
          <w:p>
            <w:pPr>
              <w:jc w:val="left"/>
            </w:pPr>
            <w:r>
              <w:rPr>
                <w:b w:val="0"/>
                <w:color w:val="475569"/>
                <w:sz w:val="17"/>
              </w:rPr>
              <w:t>Jenkinsfile in repo root</w:t>
            </w:r>
          </w:p>
        </w:tc>
      </w:tr>
      <w:tr>
        <w:tc>
          <w:tcPr>
            <w:tcW w:type="dxa" w:w="3135"/>
            <w:shd w:val="clear" w:color="auto" w:fill="D1FAE5"/>
          </w:tcPr>
          <w:p>
            <w:pPr>
              <w:jc w:val="left"/>
            </w:pPr>
            <w:r>
              <w:rPr>
                <w:b/>
                <w:sz w:val="17"/>
              </w:rPr>
              <w:t>PRCICD-002</w:t>
            </w:r>
          </w:p>
        </w:tc>
        <w:tc>
          <w:tcPr>
            <w:tcW w:type="dxa" w:w="3135"/>
          </w:tcPr>
          <w:p>
            <w:pPr>
              <w:jc w:val="left"/>
            </w:pPr>
            <w:r>
              <w:rPr>
                <w:b w:val="0"/>
                <w:sz w:val="17"/>
              </w:rPr>
              <w:t>JUnit test report (unit + integration)</w:t>
            </w:r>
          </w:p>
        </w:tc>
        <w:tc>
          <w:tcPr>
            <w:tcW w:type="dxa" w:w="3135"/>
          </w:tcPr>
          <w:p>
            <w:pPr>
              <w:jc w:val="left"/>
            </w:pPr>
            <w:r>
              <w:rPr>
                <w:b w:val="0"/>
                <w:color w:val="475569"/>
                <w:sz w:val="17"/>
              </w:rPr>
              <w:t>Jenkins Test Results page</w:t>
            </w:r>
          </w:p>
        </w:tc>
      </w:tr>
      <w:tr>
        <w:tc>
          <w:tcPr>
            <w:tcW w:type="dxa" w:w="3135"/>
            <w:shd w:val="clear" w:color="auto" w:fill="D1FAE5"/>
          </w:tcPr>
          <w:p>
            <w:pPr>
              <w:jc w:val="left"/>
            </w:pPr>
            <w:r>
              <w:rPr>
                <w:b/>
                <w:sz w:val="17"/>
              </w:rPr>
              <w:t>PRCICD-002</w:t>
            </w:r>
          </w:p>
        </w:tc>
        <w:tc>
          <w:tcPr>
            <w:tcW w:type="dxa" w:w="3135"/>
          </w:tcPr>
          <w:p>
            <w:pPr>
              <w:jc w:val="left"/>
            </w:pPr>
            <w:r>
              <w:rPr>
                <w:b w:val="0"/>
                <w:sz w:val="17"/>
              </w:rPr>
              <w:t>SonarQube quality gate result (≥ 80% coverage)</w:t>
            </w:r>
          </w:p>
        </w:tc>
        <w:tc>
          <w:tcPr>
            <w:tcW w:type="dxa" w:w="3135"/>
          </w:tcPr>
          <w:p>
            <w:pPr>
              <w:jc w:val="left"/>
            </w:pPr>
            <w:r>
              <w:rPr>
                <w:b w:val="0"/>
                <w:color w:val="475569"/>
                <w:sz w:val="17"/>
              </w:rPr>
              <w:t>SonarQube dashboard export</w:t>
            </w:r>
          </w:p>
        </w:tc>
      </w:tr>
      <w:tr>
        <w:tc>
          <w:tcPr>
            <w:tcW w:type="dxa" w:w="3135"/>
            <w:shd w:val="clear" w:color="auto" w:fill="D1FAE5"/>
          </w:tcPr>
          <w:p>
            <w:pPr>
              <w:jc w:val="left"/>
            </w:pPr>
            <w:r>
              <w:rPr>
                <w:b/>
                <w:sz w:val="17"/>
              </w:rPr>
              <w:t>PRCICD-002</w:t>
            </w:r>
          </w:p>
        </w:tc>
        <w:tc>
          <w:tcPr>
            <w:tcW w:type="dxa" w:w="3135"/>
          </w:tcPr>
          <w:p>
            <w:pPr>
              <w:jc w:val="left"/>
            </w:pPr>
            <w:r>
              <w:rPr>
                <w:b w:val="0"/>
                <w:sz w:val="17"/>
              </w:rPr>
              <w:t>Trivy CVE scan report (trivy-report.json)</w:t>
            </w:r>
          </w:p>
        </w:tc>
        <w:tc>
          <w:tcPr>
            <w:tcW w:type="dxa" w:w="3135"/>
          </w:tcPr>
          <w:p>
            <w:pPr>
              <w:jc w:val="left"/>
            </w:pPr>
            <w:r>
              <w:rPr>
                <w:b w:val="0"/>
                <w:color w:val="475569"/>
                <w:sz w:val="17"/>
              </w:rPr>
              <w:t>Jenkins Artifacts tab</w:t>
            </w:r>
          </w:p>
        </w:tc>
      </w:tr>
      <w:tr>
        <w:tc>
          <w:tcPr>
            <w:tcW w:type="dxa" w:w="3135"/>
            <w:shd w:val="clear" w:color="auto" w:fill="D1FAE5"/>
          </w:tcPr>
          <w:p>
            <w:pPr>
              <w:jc w:val="left"/>
            </w:pPr>
            <w:r>
              <w:rPr>
                <w:b/>
                <w:sz w:val="17"/>
              </w:rPr>
              <w:t>PRCICD-002</w:t>
            </w:r>
          </w:p>
        </w:tc>
        <w:tc>
          <w:tcPr>
            <w:tcW w:type="dxa" w:w="3135"/>
          </w:tcPr>
          <w:p>
            <w:pPr>
              <w:jc w:val="left"/>
            </w:pPr>
            <w:r>
              <w:rPr>
                <w:b w:val="0"/>
                <w:sz w:val="17"/>
              </w:rPr>
              <w:t>SBOM — CycloneDX format (sbom.json)</w:t>
            </w:r>
          </w:p>
        </w:tc>
        <w:tc>
          <w:tcPr>
            <w:tcW w:type="dxa" w:w="3135"/>
          </w:tcPr>
          <w:p>
            <w:pPr>
              <w:jc w:val="left"/>
            </w:pPr>
            <w:r>
              <w:rPr>
                <w:b w:val="0"/>
                <w:color w:val="475569"/>
                <w:sz w:val="17"/>
              </w:rPr>
              <w:t>Jenkins Artifacts tab</w:t>
            </w:r>
          </w:p>
        </w:tc>
      </w:tr>
      <w:tr>
        <w:tc>
          <w:tcPr>
            <w:tcW w:type="dxa" w:w="3135"/>
            <w:shd w:val="clear" w:color="auto" w:fill="D1FAE5"/>
          </w:tcPr>
          <w:p>
            <w:pPr>
              <w:jc w:val="left"/>
            </w:pPr>
            <w:r>
              <w:rPr>
                <w:b/>
                <w:sz w:val="17"/>
              </w:rPr>
              <w:t>PRCICD-002</w:t>
            </w:r>
          </w:p>
        </w:tc>
        <w:tc>
          <w:tcPr>
            <w:tcW w:type="dxa" w:w="3135"/>
          </w:tcPr>
          <w:p>
            <w:pPr>
              <w:jc w:val="left"/>
            </w:pPr>
            <w:r>
              <w:rPr>
                <w:b w:val="0"/>
                <w:sz w:val="17"/>
              </w:rPr>
              <w:t>OWASP ZAP DAST report (zap-report.html)</w:t>
            </w:r>
          </w:p>
        </w:tc>
        <w:tc>
          <w:tcPr>
            <w:tcW w:type="dxa" w:w="3135"/>
          </w:tcPr>
          <w:p>
            <w:pPr>
              <w:jc w:val="left"/>
            </w:pPr>
            <w:r>
              <w:rPr>
                <w:b w:val="0"/>
                <w:color w:val="475569"/>
                <w:sz w:val="17"/>
              </w:rPr>
              <w:t>Jenkins Artifacts tab</w:t>
            </w:r>
          </w:p>
        </w:tc>
      </w:tr>
      <w:tr>
        <w:tc>
          <w:tcPr>
            <w:tcW w:type="dxa" w:w="3135"/>
            <w:shd w:val="clear" w:color="auto" w:fill="D1FAE5"/>
          </w:tcPr>
          <w:p>
            <w:pPr>
              <w:jc w:val="left"/>
            </w:pPr>
            <w:r>
              <w:rPr>
                <w:b/>
                <w:sz w:val="17"/>
              </w:rPr>
              <w:t>PRCICD-002</w:t>
            </w:r>
          </w:p>
        </w:tc>
        <w:tc>
          <w:tcPr>
            <w:tcW w:type="dxa" w:w="3135"/>
          </w:tcPr>
          <w:p>
            <w:pPr>
              <w:jc w:val="left"/>
            </w:pPr>
            <w:r>
              <w:rPr>
                <w:b w:val="0"/>
                <w:sz w:val="17"/>
              </w:rPr>
              <w:t>ECR/Registry image push log with commit SHA tag</w:t>
            </w:r>
          </w:p>
        </w:tc>
        <w:tc>
          <w:tcPr>
            <w:tcW w:type="dxa" w:w="3135"/>
          </w:tcPr>
          <w:p>
            <w:pPr>
              <w:jc w:val="left"/>
            </w:pPr>
            <w:r>
              <w:rPr>
                <w:b w:val="0"/>
                <w:color w:val="475569"/>
                <w:sz w:val="17"/>
              </w:rPr>
              <w:t>Jenkins Stage 5 / Stage 10 log</w:t>
            </w:r>
          </w:p>
        </w:tc>
      </w:tr>
    </w:tbl>
    <w:p/>
    <w:p>
      <w:pPr>
        <w:spacing w:before="280" w:after="80"/>
        <w:jc w:val="left"/>
      </w:pPr>
      <w:r>
        <w:rPr>
          <w:b/>
          <w:color w:val="1E3A5F"/>
          <w:sz w:val="26"/>
        </w:rPr>
        <w:t>6. Tool Selection Rationale</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E293B"/>
          </w:tcPr>
          <w:p>
            <w:pPr>
              <w:jc w:val="left"/>
            </w:pPr>
            <w:r>
              <w:rPr>
                <w:b/>
                <w:color w:val="FFFFFF"/>
                <w:sz w:val="18"/>
              </w:rPr>
              <w:t>Tool</w:t>
            </w:r>
          </w:p>
        </w:tc>
        <w:tc>
          <w:tcPr>
            <w:tcW w:type="dxa" w:w="4703"/>
            <w:shd w:val="clear" w:color="auto" w:fill="1E293B"/>
          </w:tcPr>
          <w:p>
            <w:pPr>
              <w:jc w:val="left"/>
            </w:pPr>
            <w:r>
              <w:rPr>
                <w:b/>
                <w:color w:val="FFFFFF"/>
                <w:sz w:val="18"/>
              </w:rPr>
              <w:t>Why Used</w:t>
            </w:r>
          </w:p>
        </w:tc>
      </w:tr>
      <w:tr>
        <w:tc>
          <w:tcPr>
            <w:tcW w:type="dxa" w:w="4703"/>
            <w:shd w:val="clear" w:color="auto" w:fill="F8FAFC"/>
          </w:tcPr>
          <w:p>
            <w:pPr>
              <w:jc w:val="left"/>
            </w:pPr>
            <w:r>
              <w:rPr>
                <w:b/>
                <w:sz w:val="17"/>
              </w:rPr>
              <w:t>Jenkins Master/Slave</w:t>
            </w:r>
          </w:p>
        </w:tc>
        <w:tc>
          <w:tcPr>
            <w:tcW w:type="dxa" w:w="4703"/>
          </w:tcPr>
          <w:p>
            <w:pPr>
              <w:jc w:val="left"/>
            </w:pPr>
            <w:r>
              <w:rPr>
                <w:b w:val="0"/>
                <w:sz w:val="17"/>
              </w:rPr>
              <w:t>Industry-standard orchestrator with Kubernetes cloud plugin. Master/Slave separation ensures the controller is never a build bottleneck; ephemeral slaves eliminate state contamination between pipeline runs.</w:t>
            </w:r>
          </w:p>
        </w:tc>
      </w:tr>
      <w:tr>
        <w:tc>
          <w:tcPr>
            <w:tcW w:type="dxa" w:w="4703"/>
            <w:shd w:val="clear" w:color="auto" w:fill="F8FAFC"/>
          </w:tcPr>
          <w:p>
            <w:pPr>
              <w:jc w:val="left"/>
            </w:pPr>
            <w:r>
              <w:rPr>
                <w:b/>
                <w:sz w:val="17"/>
              </w:rPr>
              <w:t>Kubernetes (K8s)</w:t>
            </w:r>
          </w:p>
        </w:tc>
        <w:tc>
          <w:tcPr>
            <w:tcW w:type="dxa" w:w="4703"/>
          </w:tcPr>
          <w:p>
            <w:pPr>
              <w:jc w:val="left"/>
            </w:pPr>
            <w:r>
              <w:rPr>
                <w:b w:val="0"/>
                <w:sz w:val="17"/>
              </w:rPr>
              <w:t>Provides declarative, version-controlled infrastructure for agent pods, staging, and production environments. Blue/Green deployments are implemented natively via Deployment slot labels and a single Service selector patch.</w:t>
            </w:r>
          </w:p>
        </w:tc>
      </w:tr>
      <w:tr>
        <w:tc>
          <w:tcPr>
            <w:tcW w:type="dxa" w:w="4703"/>
            <w:shd w:val="clear" w:color="auto" w:fill="F8FAFC"/>
          </w:tcPr>
          <w:p>
            <w:pPr>
              <w:jc w:val="left"/>
            </w:pPr>
            <w:r>
              <w:rPr>
                <w:b/>
                <w:sz w:val="17"/>
              </w:rPr>
              <w:t>SonarQube</w:t>
            </w:r>
          </w:p>
        </w:tc>
        <w:tc>
          <w:tcPr>
            <w:tcW w:type="dxa" w:w="4703"/>
          </w:tcPr>
          <w:p>
            <w:pPr>
              <w:jc w:val="left"/>
            </w:pPr>
            <w:r>
              <w:rPr>
                <w:b w:val="0"/>
                <w:sz w:val="17"/>
              </w:rPr>
              <w:t>SAST tool with built-in quality gate API consumed by the Jenkins "waitForQualityGate" step. Provides coverage thresholds and vulnerability rules that directly meet the PRCICD-002 code quality criterion.</w:t>
            </w:r>
          </w:p>
        </w:tc>
      </w:tr>
      <w:tr>
        <w:tc>
          <w:tcPr>
            <w:tcW w:type="dxa" w:w="4703"/>
            <w:shd w:val="clear" w:color="auto" w:fill="F8FAFC"/>
          </w:tcPr>
          <w:p>
            <w:pPr>
              <w:jc w:val="left"/>
            </w:pPr>
            <w:r>
              <w:rPr>
                <w:b/>
                <w:sz w:val="17"/>
              </w:rPr>
              <w:t>Trivy</w:t>
            </w:r>
          </w:p>
        </w:tc>
        <w:tc>
          <w:tcPr>
            <w:tcW w:type="dxa" w:w="4703"/>
          </w:tcPr>
          <w:p>
            <w:pPr>
              <w:jc w:val="left"/>
            </w:pPr>
            <w:r>
              <w:rPr>
                <w:b w:val="0"/>
                <w:sz w:val="17"/>
              </w:rPr>
              <w:t>Fast, lightweight SCA/CVE scanner with SBOM generation (CycloneDX). Supports image scanning, exit-code enforcement, and JSON output for pipeline integration.</w:t>
            </w:r>
          </w:p>
        </w:tc>
      </w:tr>
      <w:tr>
        <w:tc>
          <w:tcPr>
            <w:tcW w:type="dxa" w:w="4703"/>
            <w:shd w:val="clear" w:color="auto" w:fill="F8FAFC"/>
          </w:tcPr>
          <w:p>
            <w:pPr>
              <w:jc w:val="left"/>
            </w:pPr>
            <w:r>
              <w:rPr>
                <w:b/>
                <w:sz w:val="17"/>
              </w:rPr>
              <w:t>OWASP ZAP</w:t>
            </w:r>
          </w:p>
        </w:tc>
        <w:tc>
          <w:tcPr>
            <w:tcW w:type="dxa" w:w="4703"/>
          </w:tcPr>
          <w:p>
            <w:pPr>
              <w:jc w:val="left"/>
            </w:pPr>
            <w:r>
              <w:rPr>
                <w:b w:val="0"/>
                <w:sz w:val="17"/>
              </w:rPr>
              <w:t>DAST scanner that tests the running application for OWASP Top 10 vulnerabilities, complementing Trivy's static analysis. Baseline scan mode is CI-friendly with a defined exit code.</w:t>
            </w:r>
          </w:p>
        </w:tc>
      </w:tr>
      <w:tr>
        <w:tc>
          <w:tcPr>
            <w:tcW w:type="dxa" w:w="4703"/>
            <w:shd w:val="clear" w:color="auto" w:fill="F8FAFC"/>
          </w:tcPr>
          <w:p>
            <w:pPr>
              <w:jc w:val="left"/>
            </w:pPr>
            <w:r>
              <w:rPr>
                <w:b/>
                <w:sz w:val="17"/>
              </w:rPr>
              <w:t>Newman</w:t>
            </w:r>
          </w:p>
        </w:tc>
        <w:tc>
          <w:tcPr>
            <w:tcW w:type="dxa" w:w="4703"/>
          </w:tcPr>
          <w:p>
            <w:pPr>
              <w:jc w:val="left"/>
            </w:pPr>
            <w:r>
              <w:rPr>
                <w:b w:val="0"/>
                <w:sz w:val="17"/>
              </w:rPr>
              <w:t>CLI runner for Postman collections. Provides repeatable, version-controlled API integration tests with JUnit-format output natively supported by Jenkins.</w:t>
            </w:r>
          </w:p>
        </w:tc>
      </w:tr>
      <w:tr>
        <w:tc>
          <w:tcPr>
            <w:tcW w:type="dxa" w:w="4703"/>
            <w:shd w:val="clear" w:color="auto" w:fill="F8FAFC"/>
          </w:tcPr>
          <w:p>
            <w:pPr>
              <w:jc w:val="left"/>
            </w:pPr>
            <w:r>
              <w:rPr>
                <w:b/>
                <w:sz w:val="17"/>
              </w:rPr>
              <w:t>Prometheus</w:t>
            </w:r>
          </w:p>
        </w:tc>
        <w:tc>
          <w:tcPr>
            <w:tcW w:type="dxa" w:w="4703"/>
          </w:tcPr>
          <w:p>
            <w:pPr>
              <w:jc w:val="left"/>
            </w:pPr>
            <w:r>
              <w:rPr>
                <w:b w:val="0"/>
                <w:sz w:val="17"/>
              </w:rPr>
              <w:t>Pull-based metrics collection from both the Jenkins cluster and application pods. Alert rules enforce a 5% error rate SLA; the test agent queries the Prometheus API to implement automated rollback logic without external dependencies.</w:t>
            </w:r>
          </w:p>
        </w:tc>
      </w:tr>
    </w:tbl>
    <w:p/>
    <w:p>
      <w:pPr>
        <w:jc w:val="center"/>
      </w:pPr>
      <w:r>
        <w:rPr>
          <w:i/>
          <w:color w:val="94A3B8"/>
          <w:sz w:val="16"/>
        </w:rPr>
        <w:t>AWS DevOps Competency Submission  ·  mern-auth CI/CD  ·  PRCICD-001 / PRCICD-002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