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A3A5C"/>
          <w:sz w:val="56"/>
          <w:szCs w:val="56"/>
        </w:rPr>
        <w:t xml:space="preserve">AI-Native Agentic Data Platform</w:t>
      </w:r>
    </w:p>
    <w:p>
      <w:pPr>
        <w:spacing w:before="0" w:after="60"/>
      </w:pPr>
      <w:r>
        <w:rPr>
          <w:rFonts w:ascii="Arial" w:cs="Arial" w:eastAsia="Arial" w:hAnsi="Arial"/>
          <w:color w:val="0D5FAA"/>
          <w:sz w:val="30"/>
          <w:szCs w:val="30"/>
        </w:rPr>
        <w:t xml:space="preserve">Executive Strategy Brief</w:t>
      </w:r>
    </w:p>
    <w:p>
      <w:pPr>
        <w:pBdr>
          <w:bottom w:val="single" w:color="0D5FAA" w:sz="14" w:space="6"/>
        </w:pBdr>
        <w:spacing w:before="0" w:after="220"/>
      </w:pPr>
      <w:r>
        <w:rPr>
          <w:rFonts w:ascii="Arial" w:cs="Arial" w:eastAsia="Arial" w:hAnsi="Arial"/>
          <w:color w:val="666666"/>
          <w:sz w:val="18"/>
          <w:szCs w:val="18"/>
        </w:rPr>
        <w:t xml:space="preserve">Prepared for CIO &amp; CTO Leadership   |   March 2026   |   Version 1.0</w:t>
      </w:r>
    </w:p>
    <w:p>
      <w:pPr>
        <w:pBdr>
          <w:bottom w:val="single" w:color="0D5FAA" w:sz="10" w:space="5"/>
        </w:pBdr>
        <w:spacing w:before="280" w:after="100"/>
      </w:pPr>
      <w:r>
        <w:rPr>
          <w:rFonts w:ascii="Arial" w:cs="Arial" w:eastAsia="Arial" w:hAnsi="Arial"/>
          <w:b/>
          <w:bCs/>
          <w:color w:val="1A3A5C"/>
          <w:sz w:val="28"/>
          <w:szCs w:val="28"/>
        </w:rPr>
        <w:t xml:space="preserve">1.   Strategic Vision</w:t>
      </w:r>
    </w:p>
    <w:p>
      <w:pPr>
        <w:spacing w:before="100" w:after="80"/>
      </w:pPr>
      <w:r>
        <w:rPr>
          <w:rFonts w:ascii="Arial" w:cs="Arial" w:eastAsia="Arial" w:hAnsi="Arial"/>
          <w:sz w:val="20"/>
          <w:szCs w:val="20"/>
        </w:rPr>
        <w:t xml:space="preserve">The enterprise data landscape is at a structural inflection point. Accelerating AI adoption, expanding regulatory obligations, and the proliferation of real-time data sources have outpaced the capacity of traditional platforms to respond. Organisations that continue to operate data as a siloed, manually orchestrated function risk ceding competitive ground to those who treat it as a living, intelligent, and self-governing asset.</w:t>
      </w:r>
    </w:p>
    <w:p>
      <w:pPr>
        <w:spacing w:before="180" w:after="60"/>
      </w:pPr>
      <w:r>
        <w:rPr>
          <w:rFonts w:ascii="Arial" w:cs="Arial" w:eastAsia="Arial" w:hAnsi="Arial"/>
          <w:b/>
          <w:bCs/>
          <w:color w:val="0E7490"/>
          <w:sz w:val="22"/>
          <w:szCs w:val="22"/>
        </w:rPr>
        <w:t xml:space="preserve">Business Reason and Need</w:t>
      </w:r>
    </w:p>
    <w:p>
      <w:pPr>
        <w:spacing w:before="60" w:after="80"/>
      </w:pPr>
      <w:r>
        <w:rPr>
          <w:rFonts w:ascii="Arial" w:cs="Arial" w:eastAsia="Arial" w:hAnsi="Arial"/>
          <w:sz w:val="20"/>
          <w:szCs w:val="20"/>
        </w:rPr>
        <w:t xml:space="preserve">AgenticDT is our strategic response: a purpose-built, AI-native data operating system that replaces fragmented pipelines with a unified agentic architecture. It addresses the three largest sources of data friction facing technology leadership today:</w:t>
      </w:r>
    </w:p>
    <w:p>
      <w:pPr>
        <w:pStyle w:val="ListParagraph"/>
        <w:numPr>
          <w:ilvl w:val="0"/>
          <w:numId w:val="2"/>
        </w:numPr>
        <w:spacing w:before="50" w:after="50"/>
      </w:pPr>
      <w:r>
        <w:rPr>
          <w:rFonts w:ascii="Arial" w:cs="Arial" w:eastAsia="Arial" w:hAnsi="Arial"/>
          <w:b/>
          <w:bCs/>
          <w:color w:val="1A3A5C"/>
          <w:sz w:val="20"/>
          <w:szCs w:val="20"/>
        </w:rPr>
        <w:t xml:space="preserve">Speed to Value: </w:t>
      </w:r>
      <w:r>
        <w:rPr>
          <w:rFonts w:ascii="Arial" w:cs="Arial" w:eastAsia="Arial" w:hAnsi="Arial"/>
          <w:sz w:val="20"/>
          <w:szCs w:val="20"/>
        </w:rPr>
        <w:t xml:space="preserve">Data engineering backlogs prevent business teams from acting on insights. AgenticDT’s AI agents automate ingestion, cataloguing, quality remediation, and publishing — compressing time-to-insight from weeks to hours.</w:t>
      </w:r>
    </w:p>
    <w:p>
      <w:pPr>
        <w:pStyle w:val="ListParagraph"/>
        <w:numPr>
          <w:ilvl w:val="0"/>
          <w:numId w:val="2"/>
        </w:numPr>
        <w:spacing w:before="50" w:after="50"/>
      </w:pPr>
      <w:r>
        <w:rPr>
          <w:rFonts w:ascii="Arial" w:cs="Arial" w:eastAsia="Arial" w:hAnsi="Arial"/>
          <w:b/>
          <w:bCs/>
          <w:color w:val="1A3A5C"/>
          <w:sz w:val="20"/>
          <w:szCs w:val="20"/>
        </w:rPr>
        <w:t xml:space="preserve">Trust at Scale: </w:t>
      </w:r>
      <w:r>
        <w:rPr>
          <w:rFonts w:ascii="Arial" w:cs="Arial" w:eastAsia="Arial" w:hAnsi="Arial"/>
          <w:sz w:val="20"/>
          <w:szCs w:val="20"/>
        </w:rPr>
        <w:t xml:space="preserve">Inconsistent definitions, undocumented lineage, and manual governance create regulatory exposure and erode confidence in data products. AgenticDT enforces standards, traces every transformation, and automates compliance posture continuously.</w:t>
      </w:r>
    </w:p>
    <w:p>
      <w:pPr>
        <w:pStyle w:val="ListParagraph"/>
        <w:numPr>
          <w:ilvl w:val="0"/>
          <w:numId w:val="2"/>
        </w:numPr>
        <w:spacing w:before="50" w:after="50"/>
      </w:pPr>
      <w:r>
        <w:rPr>
          <w:rFonts w:ascii="Arial" w:cs="Arial" w:eastAsia="Arial" w:hAnsi="Arial"/>
          <w:b/>
          <w:bCs/>
          <w:color w:val="1A3A5C"/>
          <w:sz w:val="20"/>
          <w:szCs w:val="20"/>
        </w:rPr>
        <w:t xml:space="preserve">Platform Agility: </w:t>
      </w:r>
      <w:r>
        <w:rPr>
          <w:rFonts w:ascii="Arial" w:cs="Arial" w:eastAsia="Arial" w:hAnsi="Arial"/>
          <w:sz w:val="20"/>
          <w:szCs w:val="20"/>
        </w:rPr>
        <w:t xml:space="preserve">Proprietary lock-in and monolithic architectures slow adoption of emerging AI capabilities. AgenticDT is model-agnostic, vendor-neutral, and extensible by design — enabling best-of-breed adoption without platform rebuilds.</w:t>
      </w:r>
    </w:p>
    <w:p>
      <w:pPr>
        <w:spacing w:before="80" w:after="60"/>
      </w:pPr>
      <w:r>
        <w:rPr>
          <w:rFonts w:ascii="Arial" w:cs="Arial" w:eastAsia="Arial" w:hAnsi="Arial"/>
          <w:sz w:val="20"/>
          <w:szCs w:val="20"/>
        </w:rPr>
        <w:t xml:space="preserve">This brief defines the guiding principles, strategic pillars, enabling foundations, and known pivot points that govern the AgenticDT programme for FY2026 and beyond.</w:t>
      </w:r>
    </w:p>
    <w:p>
      <w:pPr>
        <w:pBdr>
          <w:bottom w:val="single" w:color="0D5FAA" w:sz="10" w:space="5"/>
        </w:pBdr>
        <w:spacing w:before="280" w:after="100"/>
      </w:pPr>
      <w:r>
        <w:rPr>
          <w:rFonts w:ascii="Arial" w:cs="Arial" w:eastAsia="Arial" w:hAnsi="Arial"/>
          <w:b/>
          <w:bCs/>
          <w:color w:val="1A3A5C"/>
          <w:sz w:val="28"/>
          <w:szCs w:val="28"/>
        </w:rPr>
        <w:t xml:space="preserve">2.   Core Tenets</w:t>
      </w:r>
    </w:p>
    <w:p>
      <w:pPr>
        <w:spacing w:before="100" w:after="130"/>
      </w:pPr>
      <w:r>
        <w:rPr>
          <w:rFonts w:ascii="Arial" w:cs="Arial" w:eastAsia="Arial" w:hAnsi="Arial"/>
          <w:sz w:val="20"/>
          <w:szCs w:val="20"/>
        </w:rPr>
        <w:t xml:space="preserve">Fifteen platform principles are consolidated into four strategic themes, each aligned to a leadership-level outcome. These tenets are non-negotiable design constraints — not aspirational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8EC" w:sz="4"/>
              <w:left w:val="single" w:color="C5D8EC" w:sz="4"/>
              <w:bottom w:val="single" w:color="C5D8EC" w:sz="4"/>
              <w:right w:val="single" w:color="C5D8EC" w:sz="4"/>
            </w:tcBorders>
            <w:shd w:fill="E8F3FC" w:val="clear"/>
            <w:tcMar>
              <w:top w:type="dxa" w:w="130"/>
              <w:left w:type="dxa" w:w="160"/>
              <w:bottom w:type="dxa" w:w="130"/>
              <w:right w:type="dxa" w:w="160"/>
            </w:tcMar>
          </w:tcPr>
          <w:p>
            <w:pPr>
              <w:spacing w:before="0" w:after="60"/>
            </w:pPr>
            <w:r>
              <w:rPr>
                <w:rFonts w:ascii="Arial" w:cs="Arial" w:eastAsia="Arial" w:hAnsi="Arial"/>
                <w:b/>
                <w:bCs/>
                <w:color w:val="0D5FAA"/>
                <w:sz w:val="22"/>
                <w:szCs w:val="22"/>
              </w:rPr>
              <w:t xml:space="preserve">①  </w:t>
            </w:r>
            <w:r>
              <w:rPr>
                <w:rFonts w:ascii="Arial" w:cs="Arial" w:eastAsia="Arial" w:hAnsi="Arial"/>
                <w:b/>
                <w:bCs/>
                <w:color w:val="1A3A5C"/>
                <w:sz w:val="20"/>
                <w:szCs w:val="20"/>
              </w:rPr>
              <w:t xml:space="preserve">Intelligent Interfaces &amp; Discovery</w:t>
            </w:r>
          </w:p>
          <w:p>
            <w:pPr>
              <w:pStyle w:val="ListParagraph"/>
              <w:numPr>
                <w:ilvl w:val="0"/>
                <w:numId w:val="2"/>
              </w:numPr>
              <w:spacing w:before="30" w:after="30"/>
            </w:pPr>
            <w:r>
              <w:rPr>
                <w:rFonts w:ascii="Arial" w:cs="Arial" w:eastAsia="Arial" w:hAnsi="Arial"/>
                <w:sz w:val="18"/>
                <w:szCs w:val="18"/>
              </w:rPr>
              <w:t xml:space="preserve">Natural Language as the primary interface — chat, voice, and intent-driven commands replace SQL and code for every data consumer</w:t>
            </w:r>
          </w:p>
          <w:p>
            <w:pPr>
              <w:pStyle w:val="ListParagraph"/>
              <w:numPr>
                <w:ilvl w:val="0"/>
                <w:numId w:val="2"/>
              </w:numPr>
              <w:spacing w:before="30" w:after="30"/>
            </w:pPr>
            <w:r>
              <w:rPr>
                <w:rFonts w:ascii="Arial" w:cs="Arial" w:eastAsia="Arial" w:hAnsi="Arial"/>
                <w:sz w:val="18"/>
                <w:szCs w:val="18"/>
              </w:rPr>
              <w:t xml:space="preserve">Unified Semantic Layer ensures every metric, entity, and relationship carries consistent business meaning across all domains</w:t>
            </w:r>
          </w:p>
          <w:p>
            <w:pPr>
              <w:pStyle w:val="ListParagraph"/>
              <w:numPr>
                <w:ilvl w:val="0"/>
                <w:numId w:val="2"/>
              </w:numPr>
              <w:spacing w:before="30" w:after="30"/>
            </w:pPr>
            <w:r>
              <w:rPr>
                <w:rFonts w:ascii="Arial" w:cs="Arial" w:eastAsia="Arial" w:hAnsi="Arial"/>
                <w:sz w:val="18"/>
                <w:szCs w:val="18"/>
              </w:rPr>
              <w:t xml:space="preserve">Native Vector &amp; Graph capabilities power contextual search, similarity reasoning, and knowledge-graph traversal at enterprise scale</w:t>
            </w:r>
          </w:p>
          <w:p>
            <w:pPr>
              <w:pStyle w:val="ListParagraph"/>
              <w:numPr>
                <w:ilvl w:val="0"/>
                <w:numId w:val="2"/>
              </w:numPr>
              <w:spacing w:before="30" w:after="30"/>
            </w:pPr>
            <w:r>
              <w:rPr>
                <w:rFonts w:ascii="Arial" w:cs="Arial" w:eastAsia="Arial" w:hAnsi="Arial"/>
                <w:sz w:val="18"/>
                <w:szCs w:val="18"/>
              </w:rPr>
              <w:t xml:space="preserve">Automated Labeling reduces manual metadata effort through AI-driven classification and tagging at ingestion</w:t>
            </w:r>
          </w:p>
        </w:tc>
        <w:tc>
          <w:tcPr>
            <w:tcW w:type="dxa" w:w="4680"/>
            <w:tcBorders>
              <w:top w:val="single" w:color="C5D8EC" w:sz="4"/>
              <w:left w:val="single" w:color="C5D8EC" w:sz="4"/>
              <w:bottom w:val="single" w:color="C5D8EC" w:sz="4"/>
              <w:right w:val="single" w:color="C5D8EC" w:sz="4"/>
            </w:tcBorders>
            <w:shd w:fill="EAF7F1" w:val="clear"/>
            <w:tcMar>
              <w:top w:type="dxa" w:w="130"/>
              <w:left w:type="dxa" w:w="160"/>
              <w:bottom w:type="dxa" w:w="130"/>
              <w:right w:type="dxa" w:w="160"/>
            </w:tcMar>
          </w:tcPr>
          <w:p>
            <w:pPr>
              <w:spacing w:before="0" w:after="60"/>
            </w:pPr>
            <w:r>
              <w:rPr>
                <w:rFonts w:ascii="Arial" w:cs="Arial" w:eastAsia="Arial" w:hAnsi="Arial"/>
                <w:b/>
                <w:bCs/>
                <w:color w:val="0D5FAA"/>
                <w:sz w:val="22"/>
                <w:szCs w:val="22"/>
              </w:rPr>
              <w:t xml:space="preserve">②  </w:t>
            </w:r>
            <w:r>
              <w:rPr>
                <w:rFonts w:ascii="Arial" w:cs="Arial" w:eastAsia="Arial" w:hAnsi="Arial"/>
                <w:b/>
                <w:bCs/>
                <w:color w:val="1A3A5C"/>
                <w:sz w:val="20"/>
                <w:szCs w:val="20"/>
              </w:rPr>
              <w:t xml:space="preserve">Trust, Governance &amp; Lineage</w:t>
            </w:r>
          </w:p>
          <w:p>
            <w:pPr>
              <w:pStyle w:val="ListParagraph"/>
              <w:numPr>
                <w:ilvl w:val="0"/>
                <w:numId w:val="2"/>
              </w:numPr>
              <w:spacing w:before="30" w:after="30"/>
            </w:pPr>
            <w:r>
              <w:rPr>
                <w:rFonts w:ascii="Arial" w:cs="Arial" w:eastAsia="Arial" w:hAnsi="Arial"/>
                <w:sz w:val="18"/>
                <w:szCs w:val="18"/>
              </w:rPr>
              <w:t xml:space="preserve">Standard Definitions enforce a single version of the truth — no consumer should need to resolve conflicting metrics</w:t>
            </w:r>
          </w:p>
          <w:p>
            <w:pPr>
              <w:pStyle w:val="ListParagraph"/>
              <w:numPr>
                <w:ilvl w:val="0"/>
                <w:numId w:val="2"/>
              </w:numPr>
              <w:spacing w:before="30" w:after="30"/>
            </w:pPr>
            <w:r>
              <w:rPr>
                <w:rFonts w:ascii="Arial" w:cs="Arial" w:eastAsia="Arial" w:hAnsi="Arial"/>
                <w:sz w:val="18"/>
                <w:szCs w:val="18"/>
              </w:rPr>
              <w:t xml:space="preserve">Governance is continuous and automated — policies, entitlements, and classifications applied at the point of ingestion, not as a downstream audit</w:t>
            </w:r>
          </w:p>
          <w:p>
            <w:pPr>
              <w:pStyle w:val="ListParagraph"/>
              <w:numPr>
                <w:ilvl w:val="0"/>
                <w:numId w:val="2"/>
              </w:numPr>
              <w:spacing w:before="30" w:after="30"/>
            </w:pPr>
            <w:r>
              <w:rPr>
                <w:rFonts w:ascii="Arial" w:cs="Arial" w:eastAsia="Arial" w:hAnsi="Arial"/>
                <w:sz w:val="18"/>
                <w:szCs w:val="18"/>
              </w:rPr>
              <w:t xml:space="preserve">Traceability &amp; Lineage tracks every transformation, join, and publish event, creating a full chain of custody for all data products and enabling regulatory defensibility</w:t>
            </w:r>
          </w:p>
        </w:tc>
      </w:tr>
      <w:tr>
        <w:tc>
          <w:tcPr>
            <w:tcW w:type="dxa" w:w="4680"/>
            <w:tcBorders>
              <w:top w:val="single" w:color="C5D8EC" w:sz="4"/>
              <w:left w:val="single" w:color="C5D8EC" w:sz="4"/>
              <w:bottom w:val="single" w:color="C5D8EC" w:sz="4"/>
              <w:right w:val="single" w:color="C5D8EC" w:sz="4"/>
            </w:tcBorders>
            <w:shd w:fill="FEF8EC" w:val="clear"/>
            <w:tcMar>
              <w:top w:type="dxa" w:w="130"/>
              <w:left w:type="dxa" w:w="160"/>
              <w:bottom w:type="dxa" w:w="130"/>
              <w:right w:type="dxa" w:w="160"/>
            </w:tcMar>
          </w:tcPr>
          <w:p>
            <w:pPr>
              <w:spacing w:before="0" w:after="60"/>
            </w:pPr>
            <w:r>
              <w:rPr>
                <w:rFonts w:ascii="Arial" w:cs="Arial" w:eastAsia="Arial" w:hAnsi="Arial"/>
                <w:b/>
                <w:bCs/>
                <w:color w:val="0D5FAA"/>
                <w:sz w:val="22"/>
                <w:szCs w:val="22"/>
              </w:rPr>
              <w:t xml:space="preserve">③  </w:t>
            </w:r>
            <w:r>
              <w:rPr>
                <w:rFonts w:ascii="Arial" w:cs="Arial" w:eastAsia="Arial" w:hAnsi="Arial"/>
                <w:b/>
                <w:bCs/>
                <w:color w:val="1A3A5C"/>
                <w:sz w:val="20"/>
                <w:szCs w:val="20"/>
              </w:rPr>
              <w:t xml:space="preserve">Real-Time &amp; Event-Driven Architecture</w:t>
            </w:r>
          </w:p>
          <w:p>
            <w:pPr>
              <w:pStyle w:val="ListParagraph"/>
              <w:numPr>
                <w:ilvl w:val="0"/>
                <w:numId w:val="2"/>
              </w:numPr>
              <w:spacing w:before="30" w:after="30"/>
            </w:pPr>
            <w:r>
              <w:rPr>
                <w:rFonts w:ascii="Arial" w:cs="Arial" w:eastAsia="Arial" w:hAnsi="Arial"/>
                <w:sz w:val="18"/>
                <w:szCs w:val="18"/>
              </w:rPr>
              <w:t xml:space="preserve">Real-time processing as the default operating mode — batch is an optimisation for specific workloads, not the baseline assumption</w:t>
            </w:r>
          </w:p>
          <w:p>
            <w:pPr>
              <w:pStyle w:val="ListParagraph"/>
              <w:numPr>
                <w:ilvl w:val="0"/>
                <w:numId w:val="2"/>
              </w:numPr>
              <w:spacing w:before="30" w:after="30"/>
            </w:pPr>
            <w:r>
              <w:rPr>
                <w:rFonts w:ascii="Arial" w:cs="Arial" w:eastAsia="Arial" w:hAnsi="Arial"/>
                <w:sz w:val="18"/>
                <w:szCs w:val="18"/>
              </w:rPr>
              <w:t xml:space="preserve">Event-Driven Pipelines decouple producers from consumers, enabling reactive, resilient, and independently scalable data flows</w:t>
            </w:r>
          </w:p>
          <w:p>
            <w:pPr>
              <w:pStyle w:val="ListParagraph"/>
              <w:numPr>
                <w:ilvl w:val="0"/>
                <w:numId w:val="2"/>
              </w:numPr>
              <w:spacing w:before="30" w:after="30"/>
            </w:pPr>
            <w:r>
              <w:rPr>
                <w:rFonts w:ascii="Arial" w:cs="Arial" w:eastAsia="Arial" w:hAnsi="Arial"/>
                <w:sz w:val="18"/>
                <w:szCs w:val="18"/>
              </w:rPr>
              <w:t xml:space="preserve">Vectorization at Scale supports high-throughput embedding generation across the full data estate to fuel AI/ML workloads without separate infrastructure</w:t>
            </w:r>
          </w:p>
        </w:tc>
        <w:tc>
          <w:tcPr>
            <w:tcW w:type="dxa" w:w="4680"/>
            <w:tcBorders>
              <w:top w:val="single" w:color="C5D8EC" w:sz="4"/>
              <w:left w:val="single" w:color="C5D8EC" w:sz="4"/>
              <w:bottom w:val="single" w:color="C5D8EC" w:sz="4"/>
              <w:right w:val="single" w:color="C5D8EC" w:sz="4"/>
            </w:tcBorders>
            <w:shd w:fill="F3EFFE" w:val="clear"/>
            <w:tcMar>
              <w:top w:type="dxa" w:w="130"/>
              <w:left w:type="dxa" w:w="160"/>
              <w:bottom w:type="dxa" w:w="130"/>
              <w:right w:type="dxa" w:w="160"/>
            </w:tcMar>
          </w:tcPr>
          <w:p>
            <w:pPr>
              <w:spacing w:before="0" w:after="60"/>
            </w:pPr>
            <w:r>
              <w:rPr>
                <w:rFonts w:ascii="Arial" w:cs="Arial" w:eastAsia="Arial" w:hAnsi="Arial"/>
                <w:b/>
                <w:bCs/>
                <w:color w:val="0D5FAA"/>
                <w:sz w:val="22"/>
                <w:szCs w:val="22"/>
              </w:rPr>
              <w:t xml:space="preserve">④  </w:t>
            </w:r>
            <w:r>
              <w:rPr>
                <w:rFonts w:ascii="Arial" w:cs="Arial" w:eastAsia="Arial" w:hAnsi="Arial"/>
                <w:b/>
                <w:bCs/>
                <w:color w:val="1A3A5C"/>
                <w:sz w:val="20"/>
                <w:szCs w:val="20"/>
              </w:rPr>
              <w:t xml:space="preserve">Open, Extensible &amp; Model-Agnostic</w:t>
            </w:r>
          </w:p>
          <w:p>
            <w:pPr>
              <w:pStyle w:val="ListParagraph"/>
              <w:numPr>
                <w:ilvl w:val="0"/>
                <w:numId w:val="2"/>
              </w:numPr>
              <w:spacing w:before="30" w:after="30"/>
            </w:pPr>
            <w:r>
              <w:rPr>
                <w:rFonts w:ascii="Arial" w:cs="Arial" w:eastAsia="Arial" w:hAnsi="Arial"/>
                <w:sz w:val="18"/>
                <w:szCs w:val="18"/>
              </w:rPr>
              <w:t xml:space="preserve">Vendor Neutral architecture prevents strategic lock-in and preserves technology optionality as the AI landscape evolves</w:t>
            </w:r>
          </w:p>
          <w:p>
            <w:pPr>
              <w:pStyle w:val="ListParagraph"/>
              <w:numPr>
                <w:ilvl w:val="0"/>
                <w:numId w:val="2"/>
              </w:numPr>
              <w:spacing w:before="30" w:after="30"/>
            </w:pPr>
            <w:r>
              <w:rPr>
                <w:rFonts w:ascii="Arial" w:cs="Arial" w:eastAsia="Arial" w:hAnsi="Arial"/>
                <w:sz w:val="18"/>
                <w:szCs w:val="18"/>
              </w:rPr>
              <w:t xml:space="preserve">Readily Extendable through open APIs, pluggable connectors, and composable service contracts that accommodate new sources and capabilities</w:t>
            </w:r>
          </w:p>
          <w:p>
            <w:pPr>
              <w:pStyle w:val="ListParagraph"/>
              <w:numPr>
                <w:ilvl w:val="0"/>
                <w:numId w:val="2"/>
              </w:numPr>
              <w:spacing w:before="30" w:after="30"/>
            </w:pPr>
            <w:r>
              <w:rPr>
                <w:rFonts w:ascii="Arial" w:cs="Arial" w:eastAsia="Arial" w:hAnsi="Arial"/>
                <w:sz w:val="18"/>
                <w:szCs w:val="18"/>
              </w:rPr>
              <w:t xml:space="preserve">Self-Service Capability democratises data access for domain teams without requiring central engineering intervention</w:t>
            </w:r>
          </w:p>
          <w:p>
            <w:pPr>
              <w:pStyle w:val="ListParagraph"/>
              <w:numPr>
                <w:ilvl w:val="0"/>
                <w:numId w:val="2"/>
              </w:numPr>
              <w:spacing w:before="30" w:after="30"/>
            </w:pPr>
            <w:r>
              <w:rPr>
                <w:rFonts w:ascii="Arial" w:cs="Arial" w:eastAsia="Arial" w:hAnsi="Arial"/>
                <w:sz w:val="18"/>
                <w:szCs w:val="18"/>
              </w:rPr>
              <w:t xml:space="preserve">Model Agnostic design supports any LLM or ML framework — current or future — without platform re-architecture</w:t>
            </w:r>
          </w:p>
        </w:tc>
      </w:tr>
    </w:tbl>
    <w:p>
      <w:r>
        <w:br w:type="page"/>
      </w:r>
    </w:p>
    <w:p>
      <w:pPr>
        <w:pBdr>
          <w:bottom w:val="single" w:color="0D5FAA" w:sz="10" w:space="5"/>
        </w:pBdr>
        <w:spacing w:before="280" w:after="100"/>
      </w:pPr>
      <w:r>
        <w:rPr>
          <w:rFonts w:ascii="Arial" w:cs="Arial" w:eastAsia="Arial" w:hAnsi="Arial"/>
          <w:b/>
          <w:bCs/>
          <w:color w:val="1A3A5C"/>
          <w:sz w:val="28"/>
          <w:szCs w:val="28"/>
        </w:rPr>
        <w:t xml:space="preserve">3.   Business Enablers</w:t>
      </w:r>
    </w:p>
    <w:p>
      <w:pPr>
        <w:spacing w:before="180" w:after="60"/>
      </w:pPr>
      <w:r>
        <w:rPr>
          <w:rFonts w:ascii="Arial" w:cs="Arial" w:eastAsia="Arial" w:hAnsi="Arial"/>
          <w:b/>
          <w:bCs/>
          <w:color w:val="0E7490"/>
          <w:sz w:val="22"/>
          <w:szCs w:val="22"/>
        </w:rPr>
        <w:t xml:space="preserve">Foundational Enablers — Brownfield Environment</w:t>
      </w:r>
    </w:p>
    <w:p>
      <w:pPr>
        <w:spacing w:before="60" w:after="80"/>
      </w:pPr>
      <w:r>
        <w:rPr>
          <w:rFonts w:ascii="Arial" w:cs="Arial" w:eastAsia="Arial" w:hAnsi="Arial"/>
          <w:sz w:val="20"/>
          <w:szCs w:val="20"/>
        </w:rPr>
        <w:t xml:space="preserve">AgenticDT is designed to operate within and incrementally modernise an existing technology estate. A greenfield re-platform is not required. The following capabilities are activated in-place across brownfield environments: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D8EC" w:sz="4"/>
              <w:left w:val="single" w:color="C5D8EC" w:sz="4"/>
              <w:bottom w:val="single" w:color="C5D8EC" w:sz="4"/>
              <w:right w:val="single" w:color="C5D8EC" w:sz="4"/>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Enabler</w:t>
            </w:r>
          </w:p>
        </w:tc>
        <w:tc>
          <w:tcPr>
            <w:tcW w:type="dxa" w:w="6760"/>
            <w:tcBorders>
              <w:top w:val="single" w:color="C5D8EC" w:sz="4"/>
              <w:left w:val="single" w:color="C5D8EC" w:sz="4"/>
              <w:bottom w:val="single" w:color="C5D8EC" w:sz="4"/>
              <w:right w:val="single" w:color="C5D8EC" w:sz="4"/>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Strategic Value</w:t>
            </w:r>
          </w:p>
        </w:tc>
      </w:tr>
      <w:tr>
        <w:tc>
          <w:tcPr>
            <w:tcW w:type="dxa" w:w="2600"/>
            <w:tcBorders>
              <w:top w:val="single" w:color="C5D8EC" w:sz="4"/>
              <w:left w:val="single" w:color="C5D8EC" w:sz="4"/>
              <w:bottom w:val="single" w:color="C5D8EC" w:sz="4"/>
              <w:right w:val="single" w:color="C5D8EC" w:sz="4"/>
            </w:tcBorders>
            <w:shd w:fill="E8F3FC" w:val="clear"/>
            <w:tcMar>
              <w:top w:type="dxa" w:w="90"/>
              <w:left w:type="dxa" w:w="130"/>
              <w:bottom w:type="dxa" w:w="90"/>
              <w:right w:type="dxa" w:w="130"/>
            </w:tcMar>
          </w:tcPr>
          <w:p>
            <w:r>
              <w:rPr>
                <w:rFonts w:ascii="Arial" w:cs="Arial" w:eastAsia="Arial" w:hAnsi="Arial"/>
                <w:b/>
                <w:bCs/>
                <w:color w:val="1A3A5C"/>
                <w:sz w:val="19"/>
                <w:szCs w:val="19"/>
              </w:rPr>
              <w:t xml:space="preserve">Connector Library</w:t>
            </w:r>
          </w:p>
        </w:tc>
        <w:tc>
          <w:tcPr>
            <w:tcW w:type="dxa" w:w="6760"/>
            <w:tcBorders>
              <w:top w:val="single" w:color="C5D8EC" w:sz="4"/>
              <w:left w:val="single" w:color="C5D8EC" w:sz="4"/>
              <w:bottom w:val="single" w:color="C5D8EC" w:sz="4"/>
              <w:right w:val="single" w:color="C5D8EC" w:sz="4"/>
            </w:tcBorders>
            <w:shd w:fill="E8F3FC" w:val="clear"/>
            <w:tcMar>
              <w:top w:type="dxa" w:w="90"/>
              <w:left w:type="dxa" w:w="130"/>
              <w:bottom w:type="dxa" w:w="90"/>
              <w:right w:type="dxa" w:w="130"/>
            </w:tcMar>
          </w:tcPr>
          <w:p>
            <w:r>
              <w:rPr>
                <w:rFonts w:ascii="Arial" w:cs="Arial" w:eastAsia="Arial" w:hAnsi="Arial"/>
                <w:sz w:val="19"/>
                <w:szCs w:val="19"/>
              </w:rPr>
              <w:t xml:space="preserve">Pre-built integrations for Confluent/MSK, Apache Flink, Spark, Airflow, Snowflake, S3, Teradata, and REST APIs eliminate integration sprints and accelerate brownfield source onboarding.</w:t>
            </w:r>
          </w:p>
        </w:tc>
      </w:tr>
      <w:tr>
        <w:tc>
          <w:tcPr>
            <w:tcW w:type="dxa" w:w="2600"/>
            <w:tcBorders>
              <w:top w:val="single" w:color="C5D8EC" w:sz="4"/>
              <w:left w:val="single" w:color="C5D8EC" w:sz="4"/>
              <w:bottom w:val="single" w:color="C5D8EC" w:sz="4"/>
              <w:right w:val="single" w:color="C5D8EC" w:sz="4"/>
            </w:tcBorders>
            <w:shd w:fill="FFFFFF" w:val="clear"/>
            <w:tcMar>
              <w:top w:type="dxa" w:w="90"/>
              <w:left w:type="dxa" w:w="130"/>
              <w:bottom w:type="dxa" w:w="90"/>
              <w:right w:type="dxa" w:w="130"/>
            </w:tcMar>
          </w:tcPr>
          <w:p>
            <w:r>
              <w:rPr>
                <w:rFonts w:ascii="Arial" w:cs="Arial" w:eastAsia="Arial" w:hAnsi="Arial"/>
                <w:b/>
                <w:bCs/>
                <w:color w:val="1A3A5C"/>
                <w:sz w:val="19"/>
                <w:szCs w:val="19"/>
              </w:rPr>
              <w:t xml:space="preserve">AI Agent Orchestration</w:t>
            </w:r>
          </w:p>
        </w:tc>
        <w:tc>
          <w:tcPr>
            <w:tcW w:type="dxa" w:w="6760"/>
            <w:tcBorders>
              <w:top w:val="single" w:color="C5D8EC" w:sz="4"/>
              <w:left w:val="single" w:color="C5D8EC" w:sz="4"/>
              <w:bottom w:val="single" w:color="C5D8EC" w:sz="4"/>
              <w:right w:val="single" w:color="C5D8EC" w:sz="4"/>
            </w:tcBorders>
            <w:shd w:fill="FFFFFF" w:val="clear"/>
            <w:tcMar>
              <w:top w:type="dxa" w:w="90"/>
              <w:left w:type="dxa" w:w="130"/>
              <w:bottom w:type="dxa" w:w="90"/>
              <w:right w:type="dxa" w:w="130"/>
            </w:tcMar>
          </w:tcPr>
          <w:p>
            <w:r>
              <w:rPr>
                <w:rFonts w:ascii="Arial" w:cs="Arial" w:eastAsia="Arial" w:hAnsi="Arial"/>
                <w:sz w:val="19"/>
                <w:szCs w:val="19"/>
              </w:rPr>
              <w:t xml:space="preserve">38 active AI agents operate autonomously across ingestion, quality, metadata, self-healing, and publishing workflows — replacing manual runbooks with auditable agentic automation.</w:t>
            </w:r>
          </w:p>
        </w:tc>
      </w:tr>
      <w:tr>
        <w:tc>
          <w:tcPr>
            <w:tcW w:type="dxa" w:w="2600"/>
            <w:tcBorders>
              <w:top w:val="single" w:color="C5D8EC" w:sz="4"/>
              <w:left w:val="single" w:color="C5D8EC" w:sz="4"/>
              <w:bottom w:val="single" w:color="C5D8EC" w:sz="4"/>
              <w:right w:val="single" w:color="C5D8EC" w:sz="4"/>
            </w:tcBorders>
            <w:shd w:fill="E8F3FC" w:val="clear"/>
            <w:tcMar>
              <w:top w:type="dxa" w:w="90"/>
              <w:left w:type="dxa" w:w="130"/>
              <w:bottom w:type="dxa" w:w="90"/>
              <w:right w:type="dxa" w:w="130"/>
            </w:tcMar>
          </w:tcPr>
          <w:p>
            <w:r>
              <w:rPr>
                <w:rFonts w:ascii="Arial" w:cs="Arial" w:eastAsia="Arial" w:hAnsi="Arial"/>
                <w:b/>
                <w:bCs/>
                <w:color w:val="1A3A5C"/>
                <w:sz w:val="19"/>
                <w:szCs w:val="19"/>
              </w:rPr>
              <w:t xml:space="preserve">Semantic Registry</w:t>
            </w:r>
          </w:p>
        </w:tc>
        <w:tc>
          <w:tcPr>
            <w:tcW w:type="dxa" w:w="6760"/>
            <w:tcBorders>
              <w:top w:val="single" w:color="C5D8EC" w:sz="4"/>
              <w:left w:val="single" w:color="C5D8EC" w:sz="4"/>
              <w:bottom w:val="single" w:color="C5D8EC" w:sz="4"/>
              <w:right w:val="single" w:color="C5D8EC" w:sz="4"/>
            </w:tcBorders>
            <w:shd w:fill="E8F3FC" w:val="clear"/>
            <w:tcMar>
              <w:top w:type="dxa" w:w="90"/>
              <w:left w:type="dxa" w:w="130"/>
              <w:bottom w:type="dxa" w:w="90"/>
              <w:right w:type="dxa" w:w="130"/>
            </w:tcMar>
          </w:tcPr>
          <w:p>
            <w:r>
              <w:rPr>
                <w:rFonts w:ascii="Arial" w:cs="Arial" w:eastAsia="Arial" w:hAnsi="Arial"/>
                <w:sz w:val="19"/>
                <w:szCs w:val="19"/>
              </w:rPr>
              <w:t xml:space="preserve">1,842 registered schemas with full lineage provide an always-current semantic foundation, enabling governance and discovery without manual curation overhead.</w:t>
            </w:r>
          </w:p>
        </w:tc>
      </w:tr>
      <w:tr>
        <w:tc>
          <w:tcPr>
            <w:tcW w:type="dxa" w:w="2600"/>
            <w:tcBorders>
              <w:top w:val="single" w:color="C5D8EC" w:sz="4"/>
              <w:left w:val="single" w:color="C5D8EC" w:sz="4"/>
              <w:bottom w:val="single" w:color="C5D8EC" w:sz="4"/>
              <w:right w:val="single" w:color="C5D8EC" w:sz="4"/>
            </w:tcBorders>
            <w:shd w:fill="FFFFFF" w:val="clear"/>
            <w:tcMar>
              <w:top w:type="dxa" w:w="90"/>
              <w:left w:type="dxa" w:w="130"/>
              <w:bottom w:type="dxa" w:w="90"/>
              <w:right w:type="dxa" w:w="130"/>
            </w:tcMar>
          </w:tcPr>
          <w:p>
            <w:r>
              <w:rPr>
                <w:rFonts w:ascii="Arial" w:cs="Arial" w:eastAsia="Arial" w:hAnsi="Arial"/>
                <w:b/>
                <w:bCs/>
                <w:color w:val="1A3A5C"/>
                <w:sz w:val="19"/>
                <w:szCs w:val="19"/>
              </w:rPr>
              <w:t xml:space="preserve">Self-Healing Pipelines</w:t>
            </w:r>
          </w:p>
        </w:tc>
        <w:tc>
          <w:tcPr>
            <w:tcW w:type="dxa" w:w="6760"/>
            <w:tcBorders>
              <w:top w:val="single" w:color="C5D8EC" w:sz="4"/>
              <w:left w:val="single" w:color="C5D8EC" w:sz="4"/>
              <w:bottom w:val="single" w:color="C5D8EC" w:sz="4"/>
              <w:right w:val="single" w:color="C5D8EC" w:sz="4"/>
            </w:tcBorders>
            <w:shd w:fill="FFFFFF" w:val="clear"/>
            <w:tcMar>
              <w:top w:type="dxa" w:w="90"/>
              <w:left w:type="dxa" w:w="130"/>
              <w:bottom w:type="dxa" w:w="90"/>
              <w:right w:type="dxa" w:w="130"/>
            </w:tcMar>
          </w:tcPr>
          <w:p>
            <w:r>
              <w:rPr>
                <w:rFonts w:ascii="Arial" w:cs="Arial" w:eastAsia="Arial" w:hAnsi="Arial"/>
                <w:sz w:val="19"/>
                <w:szCs w:val="19"/>
              </w:rPr>
              <w:t xml:space="preserve">Automated root-cause detection and patch application reduce mean-time-to-recovery on pipeline failures from hours to minutes, with complete audit trails for compliance.</w:t>
            </w:r>
          </w:p>
        </w:tc>
      </w:tr>
      <w:tr>
        <w:tc>
          <w:tcPr>
            <w:tcW w:type="dxa" w:w="2600"/>
            <w:tcBorders>
              <w:top w:val="single" w:color="C5D8EC" w:sz="4"/>
              <w:left w:val="single" w:color="C5D8EC" w:sz="4"/>
              <w:bottom w:val="single" w:color="C5D8EC" w:sz="4"/>
              <w:right w:val="single" w:color="C5D8EC" w:sz="4"/>
            </w:tcBorders>
            <w:shd w:fill="E8F3FC" w:val="clear"/>
            <w:tcMar>
              <w:top w:type="dxa" w:w="90"/>
              <w:left w:type="dxa" w:w="130"/>
              <w:bottom w:type="dxa" w:w="90"/>
              <w:right w:type="dxa" w:w="130"/>
            </w:tcMar>
          </w:tcPr>
          <w:p>
            <w:r>
              <w:rPr>
                <w:rFonts w:ascii="Arial" w:cs="Arial" w:eastAsia="Arial" w:hAnsi="Arial"/>
                <w:b/>
                <w:bCs/>
                <w:color w:val="1A3A5C"/>
                <w:sz w:val="19"/>
                <w:szCs w:val="19"/>
              </w:rPr>
              <w:t xml:space="preserve">Multi-Interface Access</w:t>
            </w:r>
          </w:p>
        </w:tc>
        <w:tc>
          <w:tcPr>
            <w:tcW w:type="dxa" w:w="6760"/>
            <w:tcBorders>
              <w:top w:val="single" w:color="C5D8EC" w:sz="4"/>
              <w:left w:val="single" w:color="C5D8EC" w:sz="4"/>
              <w:bottom w:val="single" w:color="C5D8EC" w:sz="4"/>
              <w:right w:val="single" w:color="C5D8EC" w:sz="4"/>
            </w:tcBorders>
            <w:shd w:fill="E8F3FC" w:val="clear"/>
            <w:tcMar>
              <w:top w:type="dxa" w:w="90"/>
              <w:left w:type="dxa" w:w="130"/>
              <w:bottom w:type="dxa" w:w="90"/>
              <w:right w:type="dxa" w:w="130"/>
            </w:tcMar>
          </w:tcPr>
          <w:p>
            <w:r>
              <w:rPr>
                <w:rFonts w:ascii="Arial" w:cs="Arial" w:eastAsia="Arial" w:hAnsi="Arial"/>
                <w:sz w:val="19"/>
                <w:szCs w:val="19"/>
              </w:rPr>
              <w:t xml:space="preserve">Capabilities are accessible via web application (React/Vite, cloud-hosted), native iOS application (SwiftUI), and programmatic APIs — meeting all data consumer personas where they work.</w:t>
            </w:r>
          </w:p>
        </w:tc>
      </w:tr>
    </w:tbl>
    <w:p>
      <w:pPr>
        <w:spacing w:before="0" w:after="80"/>
      </w:pPr>
    </w:p>
    <w:p>
      <w:pPr>
        <w:pBdr>
          <w:bottom w:val="single" w:color="0D5FAA" w:sz="10" w:space="5"/>
        </w:pBdr>
        <w:spacing w:before="280" w:after="100"/>
      </w:pPr>
      <w:r>
        <w:rPr>
          <w:rFonts w:ascii="Arial" w:cs="Arial" w:eastAsia="Arial" w:hAnsi="Arial"/>
          <w:b/>
          <w:bCs/>
          <w:color w:val="1A3A5C"/>
          <w:sz w:val="28"/>
          <w:szCs w:val="28"/>
        </w:rPr>
        <w:t xml:space="preserve">4.   Strategy Details</w:t>
      </w:r>
    </w:p>
    <w:p>
      <w:pPr>
        <w:spacing w:before="180" w:after="60"/>
      </w:pPr>
      <w:r>
        <w:rPr>
          <w:rFonts w:ascii="Arial" w:cs="Arial" w:eastAsia="Arial" w:hAnsi="Arial"/>
          <w:b/>
          <w:bCs/>
          <w:color w:val="0E7490"/>
          <w:sz w:val="22"/>
          <w:szCs w:val="22"/>
        </w:rPr>
        <w:t xml:space="preserve">Four Strategic Pillars</w:t>
      </w:r>
    </w:p>
    <w:p>
      <w:pPr>
        <w:spacing w:before="60" w:after="130"/>
      </w:pPr>
      <w:r>
        <w:rPr>
          <w:rFonts w:ascii="Arial" w:cs="Arial" w:eastAsia="Arial" w:hAnsi="Arial"/>
          <w:sz w:val="20"/>
          <w:szCs w:val="20"/>
        </w:rPr>
        <w:t xml:space="preserve">The AgenticDT strategy is operationalised through four interdependent pillars that form a complete data value chain — from raw ingestion to AI-powered action. Each pillar is independently deliverable but compounding in value when activated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D8EC" w:sz="4"/>
              <w:left w:val="single" w:color="C5D8EC" w:sz="4"/>
              <w:bottom w:val="single" w:color="C5D8EC" w:sz="4"/>
              <w:right w:val="single" w:color="C5D8EC" w:sz="4"/>
            </w:tcBorders>
            <w:shd w:fill="E8F3FC" w:val="clear"/>
            <w:tcMar>
              <w:top w:type="dxa" w:w="130"/>
              <w:left w:type="dxa" w:w="150"/>
              <w:bottom w:type="dxa" w:w="130"/>
              <w:right w:type="dxa" w:w="150"/>
            </w:tcMar>
            <w:vAlign w:val="top"/>
          </w:tcPr>
          <w:p>
            <w:pPr>
              <w:spacing w:before="0" w:after="30"/>
            </w:pPr>
            <w:r>
              <w:rPr>
                <w:rFonts w:ascii="Arial" w:cs="Arial" w:eastAsia="Arial" w:hAnsi="Arial"/>
                <w:b/>
                <w:bCs/>
                <w:color w:val="0D5FAA"/>
                <w:sz w:val="40"/>
                <w:szCs w:val="40"/>
              </w:rPr>
              <w:t xml:space="preserve">01</w:t>
            </w:r>
          </w:p>
          <w:p>
            <w:pPr>
              <w:spacing w:before="0" w:after="60"/>
            </w:pPr>
            <w:r>
              <w:rPr>
                <w:rFonts w:ascii="Arial" w:cs="Arial" w:eastAsia="Arial" w:hAnsi="Arial"/>
                <w:b/>
                <w:bCs/>
                <w:color w:val="1A3A5C"/>
                <w:sz w:val="20"/>
                <w:szCs w:val="20"/>
              </w:rPr>
              <w:t xml:space="preserve">Ingest &amp; Stream</w:t>
            </w:r>
          </w:p>
          <w:p>
            <w:pPr>
              <w:spacing w:before="0" w:after="0"/>
            </w:pPr>
            <w:r>
              <w:rPr>
                <w:rFonts w:ascii="Arial" w:cs="Arial" w:eastAsia="Arial" w:hAnsi="Arial"/>
                <w:color w:val="444444"/>
                <w:sz w:val="18"/>
                <w:szCs w:val="18"/>
              </w:rPr>
              <w:t xml:space="preserve">Event-driven ingestion from 284+ sources. Real-time and batch unified under a single agentic orchestration layer with automated schema detection.</w:t>
            </w:r>
          </w:p>
        </w:tc>
        <w:tc>
          <w:tcPr>
            <w:tcW w:type="dxa" w:w="2340"/>
            <w:tcBorders>
              <w:top w:val="single" w:color="C5D8EC" w:sz="4"/>
              <w:left w:val="single" w:color="C5D8EC" w:sz="4"/>
              <w:bottom w:val="single" w:color="C5D8EC" w:sz="4"/>
              <w:right w:val="single" w:color="C5D8EC" w:sz="4"/>
            </w:tcBorders>
            <w:shd w:fill="EAF7F1" w:val="clear"/>
            <w:tcMar>
              <w:top w:type="dxa" w:w="130"/>
              <w:left w:type="dxa" w:w="150"/>
              <w:bottom w:type="dxa" w:w="130"/>
              <w:right w:type="dxa" w:w="150"/>
            </w:tcMar>
            <w:vAlign w:val="top"/>
          </w:tcPr>
          <w:p>
            <w:pPr>
              <w:spacing w:before="0" w:after="30"/>
            </w:pPr>
            <w:r>
              <w:rPr>
                <w:rFonts w:ascii="Arial" w:cs="Arial" w:eastAsia="Arial" w:hAnsi="Arial"/>
                <w:b/>
                <w:bCs/>
                <w:color w:val="0D5FAA"/>
                <w:sz w:val="40"/>
                <w:szCs w:val="40"/>
              </w:rPr>
              <w:t xml:space="preserve">02</w:t>
            </w:r>
          </w:p>
          <w:p>
            <w:pPr>
              <w:spacing w:before="0" w:after="60"/>
            </w:pPr>
            <w:r>
              <w:rPr>
                <w:rFonts w:ascii="Arial" w:cs="Arial" w:eastAsia="Arial" w:hAnsi="Arial"/>
                <w:b/>
                <w:bCs/>
                <w:color w:val="1A3A5C"/>
                <w:sz w:val="20"/>
                <w:szCs w:val="20"/>
              </w:rPr>
              <w:t xml:space="preserve">Understand &amp; Catalogue</w:t>
            </w:r>
          </w:p>
          <w:p>
            <w:pPr>
              <w:spacing w:before="0" w:after="0"/>
            </w:pPr>
            <w:r>
              <w:rPr>
                <w:rFonts w:ascii="Arial" w:cs="Arial" w:eastAsia="Arial" w:hAnsi="Arial"/>
                <w:color w:val="444444"/>
                <w:sz w:val="18"/>
                <w:szCs w:val="18"/>
              </w:rPr>
              <w:t xml:space="preserve">Automated semantic enrichment, lineage capture, and metadata registration across 1,842 schemas. Knowledge graph and vector store at the architectural centre.</w:t>
            </w:r>
          </w:p>
        </w:tc>
        <w:tc>
          <w:tcPr>
            <w:tcW w:type="dxa" w:w="2340"/>
            <w:tcBorders>
              <w:top w:val="single" w:color="C5D8EC" w:sz="4"/>
              <w:left w:val="single" w:color="C5D8EC" w:sz="4"/>
              <w:bottom w:val="single" w:color="C5D8EC" w:sz="4"/>
              <w:right w:val="single" w:color="C5D8EC" w:sz="4"/>
            </w:tcBorders>
            <w:shd w:fill="FEF8EC" w:val="clear"/>
            <w:tcMar>
              <w:top w:type="dxa" w:w="130"/>
              <w:left w:type="dxa" w:w="150"/>
              <w:bottom w:type="dxa" w:w="130"/>
              <w:right w:type="dxa" w:w="150"/>
            </w:tcMar>
            <w:vAlign w:val="top"/>
          </w:tcPr>
          <w:p>
            <w:pPr>
              <w:spacing w:before="0" w:after="30"/>
            </w:pPr>
            <w:r>
              <w:rPr>
                <w:rFonts w:ascii="Arial" w:cs="Arial" w:eastAsia="Arial" w:hAnsi="Arial"/>
                <w:b/>
                <w:bCs/>
                <w:color w:val="0D5FAA"/>
                <w:sz w:val="40"/>
                <w:szCs w:val="40"/>
              </w:rPr>
              <w:t xml:space="preserve">03</w:t>
            </w:r>
          </w:p>
          <w:p>
            <w:pPr>
              <w:spacing w:before="0" w:after="60"/>
            </w:pPr>
            <w:r>
              <w:rPr>
                <w:rFonts w:ascii="Arial" w:cs="Arial" w:eastAsia="Arial" w:hAnsi="Arial"/>
                <w:b/>
                <w:bCs/>
                <w:color w:val="1A3A5C"/>
                <w:sz w:val="20"/>
                <w:szCs w:val="20"/>
              </w:rPr>
              <w:t xml:space="preserve">Govern &amp; Trust</w:t>
            </w:r>
          </w:p>
          <w:p>
            <w:pPr>
              <w:spacing w:before="0" w:after="0"/>
            </w:pPr>
            <w:r>
              <w:rPr>
                <w:rFonts w:ascii="Arial" w:cs="Arial" w:eastAsia="Arial" w:hAnsi="Arial"/>
                <w:color w:val="444444"/>
                <w:sz w:val="18"/>
                <w:szCs w:val="18"/>
              </w:rPr>
              <w:t xml:space="preserve">Continuous automated governance applied at source. Policy enforcement, entitlement management, and quality scoring maintained at 94.2% across all data products.</w:t>
            </w:r>
          </w:p>
        </w:tc>
        <w:tc>
          <w:tcPr>
            <w:tcW w:type="dxa" w:w="2340"/>
            <w:tcBorders>
              <w:top w:val="single" w:color="C5D8EC" w:sz="4"/>
              <w:left w:val="single" w:color="C5D8EC" w:sz="4"/>
              <w:bottom w:val="single" w:color="C5D8EC" w:sz="4"/>
              <w:right w:val="single" w:color="C5D8EC" w:sz="4"/>
            </w:tcBorders>
            <w:shd w:fill="F3EFFE" w:val="clear"/>
            <w:tcMar>
              <w:top w:type="dxa" w:w="130"/>
              <w:left w:type="dxa" w:w="150"/>
              <w:bottom w:type="dxa" w:w="130"/>
              <w:right w:type="dxa" w:w="150"/>
            </w:tcMar>
            <w:vAlign w:val="top"/>
          </w:tcPr>
          <w:p>
            <w:pPr>
              <w:spacing w:before="0" w:after="30"/>
            </w:pPr>
            <w:r>
              <w:rPr>
                <w:rFonts w:ascii="Arial" w:cs="Arial" w:eastAsia="Arial" w:hAnsi="Arial"/>
                <w:b/>
                <w:bCs/>
                <w:color w:val="0D5FAA"/>
                <w:sz w:val="40"/>
                <w:szCs w:val="40"/>
              </w:rPr>
              <w:t xml:space="preserve">04</w:t>
            </w:r>
          </w:p>
          <w:p>
            <w:pPr>
              <w:spacing w:before="0" w:after="60"/>
            </w:pPr>
            <w:r>
              <w:rPr>
                <w:rFonts w:ascii="Arial" w:cs="Arial" w:eastAsia="Arial" w:hAnsi="Arial"/>
                <w:b/>
                <w:bCs/>
                <w:color w:val="1A3A5C"/>
                <w:sz w:val="20"/>
                <w:szCs w:val="20"/>
              </w:rPr>
              <w:t xml:space="preserve">Act &amp; Deploy</w:t>
            </w:r>
          </w:p>
          <w:p>
            <w:pPr>
              <w:spacing w:before="0" w:after="0"/>
            </w:pPr>
            <w:r>
              <w:rPr>
                <w:rFonts w:ascii="Arial" w:cs="Arial" w:eastAsia="Arial" w:hAnsi="Arial"/>
                <w:color w:val="444444"/>
                <w:sz w:val="18"/>
                <w:szCs w:val="18"/>
              </w:rPr>
              <w:t xml:space="preserve">AI Assistant with natural language and voice interfaces. Human-in-the-loop approvals for all Tier-1 platform actions. Model deployment and self-service analytics for every domain.</w:t>
            </w:r>
          </w:p>
        </w:tc>
      </w:tr>
    </w:tbl>
    <w:p>
      <w:pPr>
        <w:spacing w:before="0" w:after="80"/>
      </w:pPr>
    </w:p>
    <w:p>
      <w:pPr>
        <w:pBdr>
          <w:bottom w:val="single" w:color="0D5FAA" w:sz="10" w:space="5"/>
        </w:pBdr>
        <w:spacing w:before="280" w:after="100"/>
      </w:pPr>
      <w:r>
        <w:rPr>
          <w:rFonts w:ascii="Arial" w:cs="Arial" w:eastAsia="Arial" w:hAnsi="Arial"/>
          <w:b/>
          <w:bCs/>
          <w:color w:val="1A3A5C"/>
          <w:sz w:val="28"/>
          <w:szCs w:val="28"/>
        </w:rPr>
        <w:t xml:space="preserve">5.   Architecture Vision</w:t>
      </w:r>
    </w:p>
    <w:p>
      <w:pPr>
        <w:spacing w:before="100" w:after="80"/>
      </w:pPr>
      <w:r>
        <w:rPr>
          <w:rFonts w:ascii="Arial" w:cs="Arial" w:eastAsia="Arial" w:hAnsi="Arial"/>
          <w:sz w:val="20"/>
          <w:szCs w:val="20"/>
        </w:rPr>
        <w:t xml:space="preserve">AgenticDT’s architecture is built on three structural principles that distinguish it from conventional data platforms:</w:t>
      </w:r>
    </w:p>
    <w:p>
      <w:pPr>
        <w:pStyle w:val="ListParagraph"/>
        <w:numPr>
          <w:ilvl w:val="0"/>
          <w:numId w:val="2"/>
        </w:numPr>
        <w:spacing w:before="50" w:after="50"/>
      </w:pPr>
      <w:r>
        <w:rPr>
          <w:rFonts w:ascii="Arial" w:cs="Arial" w:eastAsia="Arial" w:hAnsi="Arial"/>
          <w:b/>
          <w:bCs/>
          <w:color w:val="1A3A5C"/>
          <w:sz w:val="20"/>
          <w:szCs w:val="20"/>
        </w:rPr>
        <w:t xml:space="preserve">Agent-First Orchestration: </w:t>
      </w:r>
      <w:r>
        <w:rPr>
          <w:rFonts w:ascii="Arial" w:cs="Arial" w:eastAsia="Arial" w:hAnsi="Arial"/>
          <w:sz w:val="20"/>
          <w:szCs w:val="20"/>
        </w:rPr>
        <w:t xml:space="preserve">All platform operations are orchestrated by purpose-built AI agents, not human operators or scheduled scripts. Agents are stateful, auditable, and capable of multi-step reasoning across the full data lifecycle.</w:t>
      </w:r>
    </w:p>
    <w:p>
      <w:pPr>
        <w:pStyle w:val="ListParagraph"/>
        <w:numPr>
          <w:ilvl w:val="0"/>
          <w:numId w:val="2"/>
        </w:numPr>
        <w:spacing w:before="50" w:after="50"/>
      </w:pPr>
      <w:r>
        <w:rPr>
          <w:rFonts w:ascii="Arial" w:cs="Arial" w:eastAsia="Arial" w:hAnsi="Arial"/>
          <w:b/>
          <w:bCs/>
          <w:color w:val="1A3A5C"/>
          <w:sz w:val="20"/>
          <w:szCs w:val="20"/>
        </w:rPr>
        <w:t xml:space="preserve">Semantic-Centre Design: </w:t>
      </w:r>
      <w:r>
        <w:rPr>
          <w:rFonts w:ascii="Arial" w:cs="Arial" w:eastAsia="Arial" w:hAnsi="Arial"/>
          <w:sz w:val="20"/>
          <w:szCs w:val="20"/>
        </w:rPr>
        <w:t xml:space="preserve">A unified semantic layer — backed by a vector-native knowledge graph — sits at the heart of the architecture. Every data product carries consistent meaning, lineage, and discoverability regardless of the underlying storage technology.</w:t>
      </w:r>
    </w:p>
    <w:p>
      <w:pPr>
        <w:pStyle w:val="ListParagraph"/>
        <w:numPr>
          <w:ilvl w:val="0"/>
          <w:numId w:val="2"/>
        </w:numPr>
        <w:spacing w:before="50" w:after="50"/>
      </w:pPr>
      <w:r>
        <w:rPr>
          <w:rFonts w:ascii="Arial" w:cs="Arial" w:eastAsia="Arial" w:hAnsi="Arial"/>
          <w:b/>
          <w:bCs/>
          <w:color w:val="1A3A5C"/>
          <w:sz w:val="20"/>
          <w:szCs w:val="20"/>
        </w:rPr>
        <w:t xml:space="preserve">Open-by-Default Integration: </w:t>
      </w:r>
      <w:r>
        <w:rPr>
          <w:rFonts w:ascii="Arial" w:cs="Arial" w:eastAsia="Arial" w:hAnsi="Arial"/>
          <w:sz w:val="20"/>
          <w:szCs w:val="20"/>
        </w:rPr>
        <w:t xml:space="preserve">The platform exposes open APIs and supports pluggable connectors for every major data and AI ecosystem component. No proprietary wire formats. No vendor-mandated execution engines. The architecture evolves with the industry.</w:t>
      </w:r>
    </w:p>
    <w:p>
      <w:pPr>
        <w:spacing w:before="110" w:after="80"/>
      </w:pPr>
      <w:r>
        <w:rPr>
          <w:rFonts w:ascii="Arial" w:cs="Arial" w:eastAsia="Arial" w:hAnsi="Arial"/>
          <w:sz w:val="20"/>
          <w:szCs w:val="20"/>
        </w:rPr>
        <w:t xml:space="preserve">Current platform indicators: 247 active pipelines   ·   284 registered sources   ·   94.2% data quality   ·   38 active agents   ·   Web + iOS interfaces live.</w:t>
      </w:r>
    </w:p>
    <w:p>
      <w:r>
        <w:br w:type="page"/>
      </w:r>
    </w:p>
    <w:p>
      <w:pPr>
        <w:pBdr>
          <w:bottom w:val="single" w:color="0D5FAA" w:sz="10" w:space="5"/>
        </w:pBdr>
        <w:spacing w:before="280" w:after="100"/>
      </w:pPr>
      <w:r>
        <w:rPr>
          <w:rFonts w:ascii="Arial" w:cs="Arial" w:eastAsia="Arial" w:hAnsi="Arial"/>
          <w:b/>
          <w:bCs/>
          <w:color w:val="1A3A5C"/>
          <w:sz w:val="28"/>
          <w:szCs w:val="28"/>
        </w:rPr>
        <w:t xml:space="preserve">6.   What Needs to Pivot</w:t>
      </w:r>
    </w:p>
    <w:p>
      <w:pPr>
        <w:spacing w:before="180" w:after="60"/>
      </w:pPr>
      <w:r>
        <w:rPr>
          <w:rFonts w:ascii="Arial" w:cs="Arial" w:eastAsia="Arial" w:hAnsi="Arial"/>
          <w:b/>
          <w:bCs/>
          <w:color w:val="0E7490"/>
          <w:sz w:val="22"/>
          <w:szCs w:val="22"/>
        </w:rPr>
        <w:t xml:space="preserve">Dependency Risks</w:t>
      </w:r>
    </w:p>
    <w:p>
      <w:pPr>
        <w:pStyle w:val="ListParagraph"/>
        <w:numPr>
          <w:ilvl w:val="0"/>
          <w:numId w:val="2"/>
        </w:numPr>
        <w:spacing w:before="50" w:after="50"/>
      </w:pPr>
      <w:r>
        <w:rPr>
          <w:rFonts w:ascii="Arial" w:cs="Arial" w:eastAsia="Arial" w:hAnsi="Arial"/>
          <w:b/>
          <w:bCs/>
          <w:color w:val="1A3A5C"/>
          <w:sz w:val="20"/>
          <w:szCs w:val="20"/>
        </w:rPr>
        <w:t xml:space="preserve">Vendor Landscape Velocity &amp; Stability: </w:t>
      </w:r>
      <w:r>
        <w:rPr>
          <w:rFonts w:ascii="Arial" w:cs="Arial" w:eastAsia="Arial" w:hAnsi="Arial"/>
          <w:sz w:val="20"/>
          <w:szCs w:val="20"/>
        </w:rPr>
        <w:t xml:space="preserve">The AI tooling and LLM provider ecosystem is evolving at a pace that outstrips traditional procurement and architecture review cycles. Vendors anchoring critical capabilities today may consolidate, pivot, or be superseded within 18 months. Mitigation: the model-agnostic and vendor-neutral tenets are non-negotiable architectural constraints. No single provider should account for more than 30% of any critical capability, and all Tier-1 integrations must maintain documented substitution paths.</w:t>
      </w:r>
    </w:p>
    <w:p>
      <w:pPr>
        <w:pStyle w:val="ListParagraph"/>
        <w:numPr>
          <w:ilvl w:val="0"/>
          <w:numId w:val="2"/>
        </w:numPr>
        <w:spacing w:before="50" w:after="50"/>
      </w:pPr>
      <w:r>
        <w:rPr>
          <w:rFonts w:ascii="Arial" w:cs="Arial" w:eastAsia="Arial" w:hAnsi="Arial"/>
          <w:b/>
          <w:bCs/>
          <w:color w:val="1A3A5C"/>
          <w:sz w:val="20"/>
          <w:szCs w:val="20"/>
        </w:rPr>
        <w:t xml:space="preserve">API Credential Governance: </w:t>
      </w:r>
      <w:r>
        <w:rPr>
          <w:rFonts w:ascii="Arial" w:cs="Arial" w:eastAsia="Arial" w:hAnsi="Arial"/>
          <w:sz w:val="20"/>
          <w:szCs w:val="20"/>
        </w:rPr>
        <w:t xml:space="preserve">In the current release, individual users supply their own AI provider credentials. This is appropriate for initial deployment but creates operational, cost, and compliance risk at enterprise scale. The planned user registration and authentication system will introduce a backend proxy layer, eliminating end-user key management while enabling organisational rate limiting, cost attribution, and credential rotation without client-side changes.</w:t>
      </w:r>
    </w:p>
    <w:p>
      <w:pPr>
        <w:spacing w:before="0" w:after="60"/>
      </w:pPr>
    </w:p>
    <w:p>
      <w:pPr>
        <w:spacing w:before="180" w:after="60"/>
      </w:pPr>
      <w:r>
        <w:rPr>
          <w:rFonts w:ascii="Arial" w:cs="Arial" w:eastAsia="Arial" w:hAnsi="Arial"/>
          <w:b/>
          <w:bCs/>
          <w:color w:val="0E7490"/>
          <w:sz w:val="22"/>
          <w:szCs w:val="22"/>
        </w:rPr>
        <w:t xml:space="preserve">Business Risks</w:t>
      </w:r>
    </w:p>
    <w:p>
      <w:pPr>
        <w:pStyle w:val="ListParagraph"/>
        <w:numPr>
          <w:ilvl w:val="0"/>
          <w:numId w:val="2"/>
        </w:numPr>
        <w:spacing w:before="50" w:after="50"/>
      </w:pPr>
      <w:r>
        <w:rPr>
          <w:rFonts w:ascii="Arial" w:cs="Arial" w:eastAsia="Arial" w:hAnsi="Arial"/>
          <w:b/>
          <w:bCs/>
          <w:color w:val="1A3A5C"/>
          <w:sz w:val="20"/>
          <w:szCs w:val="20"/>
        </w:rPr>
        <w:t xml:space="preserve">Adoption Without Governance Maturity: </w:t>
      </w:r>
      <w:r>
        <w:rPr>
          <w:rFonts w:ascii="Arial" w:cs="Arial" w:eastAsia="Arial" w:hAnsi="Arial"/>
          <w:sz w:val="20"/>
          <w:szCs w:val="20"/>
        </w:rPr>
        <w:t xml:space="preserve">Agentic automation that outpaces an organisation’s governance readiness creates silent risk — agents can propagate flawed data at speed. The platform’s human-in-the-loop approval framework is the primary safeguard and must be enforced for all Tier-1 data actions until automated trust thresholds are formally established.</w:t>
      </w:r>
    </w:p>
    <w:p>
      <w:pPr>
        <w:pStyle w:val="ListParagraph"/>
        <w:numPr>
          <w:ilvl w:val="0"/>
          <w:numId w:val="2"/>
        </w:numPr>
        <w:spacing w:before="50" w:after="50"/>
      </w:pPr>
      <w:r>
        <w:rPr>
          <w:rFonts w:ascii="Arial" w:cs="Arial" w:eastAsia="Arial" w:hAnsi="Arial"/>
          <w:b/>
          <w:bCs/>
          <w:color w:val="1A3A5C"/>
          <w:sz w:val="20"/>
          <w:szCs w:val="20"/>
        </w:rPr>
        <w:t xml:space="preserve">Skill Transition Gap: </w:t>
      </w:r>
      <w:r>
        <w:rPr>
          <w:rFonts w:ascii="Arial" w:cs="Arial" w:eastAsia="Arial" w:hAnsi="Arial"/>
          <w:sz w:val="20"/>
          <w:szCs w:val="20"/>
        </w:rPr>
        <w:t xml:space="preserve">The shift from manual pipeline engineering to agentic orchestration requires a parallel investment in team capability. Data engineers, platform owners, and domain stewards need structured onboarding to supervise autonomous agents effectively and realise the platform’s full value.</w:t>
      </w:r>
    </w:p>
    <w:p>
      <w:pPr>
        <w:pStyle w:val="ListParagraph"/>
        <w:numPr>
          <w:ilvl w:val="0"/>
          <w:numId w:val="2"/>
        </w:numPr>
        <w:spacing w:before="50" w:after="50"/>
      </w:pPr>
      <w:r>
        <w:rPr>
          <w:rFonts w:ascii="Arial" w:cs="Arial" w:eastAsia="Arial" w:hAnsi="Arial"/>
          <w:b/>
          <w:bCs/>
          <w:color w:val="1A3A5C"/>
          <w:sz w:val="20"/>
          <w:szCs w:val="20"/>
        </w:rPr>
        <w:t xml:space="preserve">Roadmap Sequencing: </w:t>
      </w:r>
      <w:r>
        <w:rPr>
          <w:rFonts w:ascii="Arial" w:cs="Arial" w:eastAsia="Arial" w:hAnsi="Arial"/>
          <w:sz w:val="20"/>
          <w:szCs w:val="20"/>
        </w:rPr>
        <w:t xml:space="preserve">User registration, authentication, and backend API proxy are critical-path items. Delaying them extends the window of credential exposure and defers enterprise-scale deployment. These are recommended as the immediate fast-follow to the current AI Assistant release.</w:t>
      </w:r>
    </w:p>
    <w:p>
      <w:pPr>
        <w:spacing w:before="0" w:after="80"/>
      </w:pPr>
    </w:p>
    <w:p>
      <w:pPr>
        <w:pBdr>
          <w:top w:val="single" w:color="0D5FAA" w:sz="10" w:space="6"/>
          <w:bottom w:val="single" w:color="CCCCCC" w:sz="2" w:space="4"/>
        </w:pBdr>
        <w:spacing w:before="120" w:after="80"/>
      </w:pPr>
      <w:r>
        <w:rPr>
          <w:rFonts w:ascii="Arial" w:cs="Arial" w:eastAsia="Arial" w:hAnsi="Arial"/>
          <w:b/>
          <w:bCs/>
          <w:color w:val="1A3A5C"/>
          <w:sz w:val="24"/>
          <w:szCs w:val="24"/>
        </w:rPr>
        <w:t xml:space="preserve">Recommended Next Steps for Leadership</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680"/>
        <w:gridCol w:w="2120"/>
      </w:tblGrid>
      <w:tr>
        <w:tc>
          <w:tcPr>
            <w:tcW w:type="dxa" w:w="1560"/>
            <w:tcBorders>
              <w:top w:val="single" w:color="C5D8EC" w:sz="4"/>
              <w:left w:val="single" w:color="C5D8EC" w:sz="4"/>
              <w:bottom w:val="single" w:color="C5D8EC" w:sz="4"/>
              <w:right w:val="single" w:color="C5D8EC" w:sz="4"/>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Priority</w:t>
            </w:r>
          </w:p>
        </w:tc>
        <w:tc>
          <w:tcPr>
            <w:tcW w:type="dxa" w:w="5680"/>
            <w:tcBorders>
              <w:top w:val="single" w:color="C5D8EC" w:sz="4"/>
              <w:left w:val="single" w:color="C5D8EC" w:sz="4"/>
              <w:bottom w:val="single" w:color="C5D8EC" w:sz="4"/>
              <w:right w:val="single" w:color="C5D8EC" w:sz="4"/>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Action</w:t>
            </w:r>
          </w:p>
        </w:tc>
        <w:tc>
          <w:tcPr>
            <w:tcW w:type="dxa" w:w="2120"/>
            <w:tcBorders>
              <w:top w:val="single" w:color="C5D8EC" w:sz="4"/>
              <w:left w:val="single" w:color="C5D8EC" w:sz="4"/>
              <w:bottom w:val="single" w:color="C5D8EC" w:sz="4"/>
              <w:right w:val="single" w:color="C5D8EC" w:sz="4"/>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Owner</w:t>
            </w:r>
          </w:p>
        </w:tc>
      </w:tr>
      <w:tr>
        <w:tc>
          <w:tcPr>
            <w:tcW w:type="dxa" w:w="1560"/>
            <w:tcBorders>
              <w:top w:val="single" w:color="C5D8EC" w:sz="4"/>
              <w:left w:val="single" w:color="C5D8EC" w:sz="4"/>
              <w:bottom w:val="single" w:color="C5D8EC" w:sz="4"/>
              <w:right w:val="single" w:color="C5D8EC" w:sz="4"/>
            </w:tcBorders>
            <w:shd w:fill="E8F3FC" w:val="clear"/>
            <w:tcMar>
              <w:top w:type="dxa" w:w="80"/>
              <w:left w:type="dxa" w:w="120"/>
              <w:bottom w:type="dxa" w:w="80"/>
              <w:right w:type="dxa" w:w="120"/>
            </w:tcMar>
          </w:tcPr>
          <w:p>
            <w:r>
              <w:rPr>
                <w:rFonts w:ascii="Arial" w:cs="Arial" w:eastAsia="Arial" w:hAnsi="Arial"/>
                <w:b/>
                <w:bCs/>
                <w:color w:val="1A3A5C"/>
                <w:sz w:val="18"/>
                <w:szCs w:val="18"/>
              </w:rPr>
              <w:t xml:space="preserve">P1 — Now</w:t>
            </w:r>
          </w:p>
        </w:tc>
        <w:tc>
          <w:tcPr>
            <w:tcW w:type="dxa" w:w="5680"/>
            <w:tcBorders>
              <w:top w:val="single" w:color="C5D8EC" w:sz="4"/>
              <w:left w:val="single" w:color="C5D8EC" w:sz="4"/>
              <w:bottom w:val="single" w:color="C5D8EC" w:sz="4"/>
              <w:right w:val="single" w:color="C5D8EC" w:sz="4"/>
            </w:tcBorders>
            <w:shd w:fill="E8F3FC" w:val="clear"/>
            <w:tcMar>
              <w:top w:type="dxa" w:w="80"/>
              <w:left w:type="dxa" w:w="120"/>
              <w:bottom w:type="dxa" w:w="80"/>
              <w:right w:type="dxa" w:w="120"/>
            </w:tcMar>
          </w:tcPr>
          <w:p>
            <w:r>
              <w:rPr>
                <w:rFonts w:ascii="Arial" w:cs="Arial" w:eastAsia="Arial" w:hAnsi="Arial"/>
                <w:sz w:val="18"/>
                <w:szCs w:val="18"/>
              </w:rPr>
              <w:t xml:space="preserve">Approve and prioritise user registration &amp; authentication with backend OpenAI proxy</w:t>
            </w:r>
          </w:p>
        </w:tc>
        <w:tc>
          <w:tcPr>
            <w:tcW w:type="dxa" w:w="2120"/>
            <w:tcBorders>
              <w:top w:val="single" w:color="C5D8EC" w:sz="4"/>
              <w:left w:val="single" w:color="C5D8EC" w:sz="4"/>
              <w:bottom w:val="single" w:color="C5D8EC" w:sz="4"/>
              <w:right w:val="single" w:color="C5D8EC" w:sz="4"/>
            </w:tcBorders>
            <w:shd w:fill="E8F3FC" w:val="clear"/>
            <w:tcMar>
              <w:top w:type="dxa" w:w="80"/>
              <w:left w:type="dxa" w:w="120"/>
              <w:bottom w:type="dxa" w:w="80"/>
              <w:right w:type="dxa" w:w="120"/>
            </w:tcMar>
          </w:tcPr>
          <w:p>
            <w:r>
              <w:rPr>
                <w:rFonts w:ascii="Arial" w:cs="Arial" w:eastAsia="Arial" w:hAnsi="Arial"/>
                <w:sz w:val="18"/>
                <w:szCs w:val="18"/>
              </w:rPr>
              <w:t xml:space="preserve">CTO / Eng. Lead</w:t>
            </w:r>
          </w:p>
        </w:tc>
      </w:tr>
      <w:tr>
        <w:tc>
          <w:tcPr>
            <w:tcW w:type="dxa" w:w="1560"/>
            <w:tcBorders>
              <w:top w:val="single" w:color="C5D8EC" w:sz="4"/>
              <w:left w:val="single" w:color="C5D8EC" w:sz="4"/>
              <w:bottom w:val="single" w:color="C5D8EC" w:sz="4"/>
              <w:right w:val="single" w:color="C5D8EC" w:sz="4"/>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P1 — Now</w:t>
            </w:r>
          </w:p>
        </w:tc>
        <w:tc>
          <w:tcPr>
            <w:tcW w:type="dxa" w:w="5680"/>
            <w:tcBorders>
              <w:top w:val="single" w:color="C5D8EC" w:sz="4"/>
              <w:left w:val="single" w:color="C5D8EC" w:sz="4"/>
              <w:bottom w:val="single" w:color="C5D8EC" w:sz="4"/>
              <w:right w:val="single" w:color="C5D8EC" w:sz="4"/>
            </w:tcBorders>
            <w:shd w:fill="FFFFFF" w:val="clear"/>
            <w:tcMar>
              <w:top w:type="dxa" w:w="80"/>
              <w:left w:type="dxa" w:w="120"/>
              <w:bottom w:type="dxa" w:w="80"/>
              <w:right w:type="dxa" w:w="120"/>
            </w:tcMar>
          </w:tcPr>
          <w:p>
            <w:r>
              <w:rPr>
                <w:rFonts w:ascii="Arial" w:cs="Arial" w:eastAsia="Arial" w:hAnsi="Arial"/>
                <w:sz w:val="18"/>
                <w:szCs w:val="18"/>
              </w:rPr>
              <w:t xml:space="preserve">Ratify the four Core Tenet groups as the platform’s official governing principles</w:t>
            </w:r>
          </w:p>
        </w:tc>
        <w:tc>
          <w:tcPr>
            <w:tcW w:type="dxa" w:w="2120"/>
            <w:tcBorders>
              <w:top w:val="single" w:color="C5D8EC" w:sz="4"/>
              <w:left w:val="single" w:color="C5D8EC" w:sz="4"/>
              <w:bottom w:val="single" w:color="C5D8EC" w:sz="4"/>
              <w:right w:val="single" w:color="C5D8EC" w:sz="4"/>
            </w:tcBorders>
            <w:shd w:fill="FFFFFF" w:val="clear"/>
            <w:tcMar>
              <w:top w:type="dxa" w:w="80"/>
              <w:left w:type="dxa" w:w="120"/>
              <w:bottom w:type="dxa" w:w="80"/>
              <w:right w:type="dxa" w:w="120"/>
            </w:tcMar>
          </w:tcPr>
          <w:p>
            <w:r>
              <w:rPr>
                <w:rFonts w:ascii="Arial" w:cs="Arial" w:eastAsia="Arial" w:hAnsi="Arial"/>
                <w:sz w:val="18"/>
                <w:szCs w:val="18"/>
              </w:rPr>
              <w:t xml:space="preserve">CIO / Data Strategy</w:t>
            </w:r>
          </w:p>
        </w:tc>
      </w:tr>
      <w:tr>
        <w:tc>
          <w:tcPr>
            <w:tcW w:type="dxa" w:w="1560"/>
            <w:tcBorders>
              <w:top w:val="single" w:color="C5D8EC" w:sz="4"/>
              <w:left w:val="single" w:color="C5D8EC" w:sz="4"/>
              <w:bottom w:val="single" w:color="C5D8EC" w:sz="4"/>
              <w:right w:val="single" w:color="C5D8EC" w:sz="4"/>
            </w:tcBorders>
            <w:shd w:fill="E8F3FC" w:val="clear"/>
            <w:tcMar>
              <w:top w:type="dxa" w:w="80"/>
              <w:left w:type="dxa" w:w="120"/>
              <w:bottom w:type="dxa" w:w="80"/>
              <w:right w:type="dxa" w:w="120"/>
            </w:tcMar>
          </w:tcPr>
          <w:p>
            <w:r>
              <w:rPr>
                <w:rFonts w:ascii="Arial" w:cs="Arial" w:eastAsia="Arial" w:hAnsi="Arial"/>
                <w:b/>
                <w:bCs/>
                <w:color w:val="1A3A5C"/>
                <w:sz w:val="18"/>
                <w:szCs w:val="18"/>
              </w:rPr>
              <w:t xml:space="preserve">P2 — 30 Days</w:t>
            </w:r>
          </w:p>
        </w:tc>
        <w:tc>
          <w:tcPr>
            <w:tcW w:type="dxa" w:w="5680"/>
            <w:tcBorders>
              <w:top w:val="single" w:color="C5D8EC" w:sz="4"/>
              <w:left w:val="single" w:color="C5D8EC" w:sz="4"/>
              <w:bottom w:val="single" w:color="C5D8EC" w:sz="4"/>
              <w:right w:val="single" w:color="C5D8EC" w:sz="4"/>
            </w:tcBorders>
            <w:shd w:fill="E8F3FC" w:val="clear"/>
            <w:tcMar>
              <w:top w:type="dxa" w:w="80"/>
              <w:left w:type="dxa" w:w="120"/>
              <w:bottom w:type="dxa" w:w="80"/>
              <w:right w:type="dxa" w:w="120"/>
            </w:tcMar>
          </w:tcPr>
          <w:p>
            <w:r>
              <w:rPr>
                <w:rFonts w:ascii="Arial" w:cs="Arial" w:eastAsia="Arial" w:hAnsi="Arial"/>
                <w:sz w:val="18"/>
                <w:szCs w:val="18"/>
              </w:rPr>
              <w:t xml:space="preserve">Define Tier-1 action thresholds for human-in-the-loop governance enforcement policy</w:t>
            </w:r>
          </w:p>
        </w:tc>
        <w:tc>
          <w:tcPr>
            <w:tcW w:type="dxa" w:w="2120"/>
            <w:tcBorders>
              <w:top w:val="single" w:color="C5D8EC" w:sz="4"/>
              <w:left w:val="single" w:color="C5D8EC" w:sz="4"/>
              <w:bottom w:val="single" w:color="C5D8EC" w:sz="4"/>
              <w:right w:val="single" w:color="C5D8EC" w:sz="4"/>
            </w:tcBorders>
            <w:shd w:fill="E8F3FC" w:val="clear"/>
            <w:tcMar>
              <w:top w:type="dxa" w:w="80"/>
              <w:left w:type="dxa" w:w="120"/>
              <w:bottom w:type="dxa" w:w="80"/>
              <w:right w:type="dxa" w:w="120"/>
            </w:tcMar>
          </w:tcPr>
          <w:p>
            <w:r>
              <w:rPr>
                <w:rFonts w:ascii="Arial" w:cs="Arial" w:eastAsia="Arial" w:hAnsi="Arial"/>
                <w:sz w:val="18"/>
                <w:szCs w:val="18"/>
              </w:rPr>
              <w:t xml:space="preserve">CIO / Governance</w:t>
            </w:r>
          </w:p>
        </w:tc>
      </w:tr>
      <w:tr>
        <w:tc>
          <w:tcPr>
            <w:tcW w:type="dxa" w:w="1560"/>
            <w:tcBorders>
              <w:top w:val="single" w:color="C5D8EC" w:sz="4"/>
              <w:left w:val="single" w:color="C5D8EC" w:sz="4"/>
              <w:bottom w:val="single" w:color="C5D8EC" w:sz="4"/>
              <w:right w:val="single" w:color="C5D8EC" w:sz="4"/>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P2 — 30 Days</w:t>
            </w:r>
          </w:p>
        </w:tc>
        <w:tc>
          <w:tcPr>
            <w:tcW w:type="dxa" w:w="5680"/>
            <w:tcBorders>
              <w:top w:val="single" w:color="C5D8EC" w:sz="4"/>
              <w:left w:val="single" w:color="C5D8EC" w:sz="4"/>
              <w:bottom w:val="single" w:color="C5D8EC" w:sz="4"/>
              <w:right w:val="single" w:color="C5D8EC" w:sz="4"/>
            </w:tcBorders>
            <w:shd w:fill="FFFFFF" w:val="clear"/>
            <w:tcMar>
              <w:top w:type="dxa" w:w="80"/>
              <w:left w:type="dxa" w:w="120"/>
              <w:bottom w:type="dxa" w:w="80"/>
              <w:right w:type="dxa" w:w="120"/>
            </w:tcMar>
          </w:tcPr>
          <w:p>
            <w:r>
              <w:rPr>
                <w:rFonts w:ascii="Arial" w:cs="Arial" w:eastAsia="Arial" w:hAnsi="Arial"/>
                <w:sz w:val="18"/>
                <w:szCs w:val="18"/>
              </w:rPr>
              <w:t xml:space="preserve">Conduct vendor dependency audit; document substitution paths for all Tier-1 integrations</w:t>
            </w:r>
          </w:p>
        </w:tc>
        <w:tc>
          <w:tcPr>
            <w:tcW w:type="dxa" w:w="2120"/>
            <w:tcBorders>
              <w:top w:val="single" w:color="C5D8EC" w:sz="4"/>
              <w:left w:val="single" w:color="C5D8EC" w:sz="4"/>
              <w:bottom w:val="single" w:color="C5D8EC" w:sz="4"/>
              <w:right w:val="single" w:color="C5D8EC" w:sz="4"/>
            </w:tcBorders>
            <w:shd w:fill="FFFFFF" w:val="clear"/>
            <w:tcMar>
              <w:top w:type="dxa" w:w="80"/>
              <w:left w:type="dxa" w:w="120"/>
              <w:bottom w:type="dxa" w:w="80"/>
              <w:right w:type="dxa" w:w="120"/>
            </w:tcMar>
          </w:tcPr>
          <w:p>
            <w:r>
              <w:rPr>
                <w:rFonts w:ascii="Arial" w:cs="Arial" w:eastAsia="Arial" w:hAnsi="Arial"/>
                <w:sz w:val="18"/>
                <w:szCs w:val="18"/>
              </w:rPr>
              <w:t xml:space="preserve">CTO / Architecture</w:t>
            </w:r>
          </w:p>
        </w:tc>
      </w:tr>
      <w:tr>
        <w:tc>
          <w:tcPr>
            <w:tcW w:type="dxa" w:w="1560"/>
            <w:tcBorders>
              <w:top w:val="single" w:color="C5D8EC" w:sz="4"/>
              <w:left w:val="single" w:color="C5D8EC" w:sz="4"/>
              <w:bottom w:val="single" w:color="C5D8EC" w:sz="4"/>
              <w:right w:val="single" w:color="C5D8EC" w:sz="4"/>
            </w:tcBorders>
            <w:shd w:fill="E8F3FC" w:val="clear"/>
            <w:tcMar>
              <w:top w:type="dxa" w:w="80"/>
              <w:left w:type="dxa" w:w="120"/>
              <w:bottom w:type="dxa" w:w="80"/>
              <w:right w:type="dxa" w:w="120"/>
            </w:tcMar>
          </w:tcPr>
          <w:p>
            <w:r>
              <w:rPr>
                <w:rFonts w:ascii="Arial" w:cs="Arial" w:eastAsia="Arial" w:hAnsi="Arial"/>
                <w:b/>
                <w:bCs/>
                <w:color w:val="1A3A5C"/>
                <w:sz w:val="18"/>
                <w:szCs w:val="18"/>
              </w:rPr>
              <w:t xml:space="preserve">P3 — 60 Days</w:t>
            </w:r>
          </w:p>
        </w:tc>
        <w:tc>
          <w:tcPr>
            <w:tcW w:type="dxa" w:w="5680"/>
            <w:tcBorders>
              <w:top w:val="single" w:color="C5D8EC" w:sz="4"/>
              <w:left w:val="single" w:color="C5D8EC" w:sz="4"/>
              <w:bottom w:val="single" w:color="C5D8EC" w:sz="4"/>
              <w:right w:val="single" w:color="C5D8EC" w:sz="4"/>
            </w:tcBorders>
            <w:shd w:fill="E8F3FC" w:val="clear"/>
            <w:tcMar>
              <w:top w:type="dxa" w:w="80"/>
              <w:left w:type="dxa" w:w="120"/>
              <w:bottom w:type="dxa" w:w="80"/>
              <w:right w:type="dxa" w:w="120"/>
            </w:tcMar>
          </w:tcPr>
          <w:p>
            <w:r>
              <w:rPr>
                <w:rFonts w:ascii="Arial" w:cs="Arial" w:eastAsia="Arial" w:hAnsi="Arial"/>
                <w:sz w:val="18"/>
                <w:szCs w:val="18"/>
              </w:rPr>
              <w:t xml:space="preserve">Launch structured onboarding programme for engineering, platform, and domain teams</w:t>
            </w:r>
          </w:p>
        </w:tc>
        <w:tc>
          <w:tcPr>
            <w:tcW w:type="dxa" w:w="2120"/>
            <w:tcBorders>
              <w:top w:val="single" w:color="C5D8EC" w:sz="4"/>
              <w:left w:val="single" w:color="C5D8EC" w:sz="4"/>
              <w:bottom w:val="single" w:color="C5D8EC" w:sz="4"/>
              <w:right w:val="single" w:color="C5D8EC" w:sz="4"/>
            </w:tcBorders>
            <w:shd w:fill="E8F3FC" w:val="clear"/>
            <w:tcMar>
              <w:top w:type="dxa" w:w="80"/>
              <w:left w:type="dxa" w:w="120"/>
              <w:bottom w:type="dxa" w:w="80"/>
              <w:right w:type="dxa" w:w="120"/>
            </w:tcMar>
          </w:tcPr>
          <w:p>
            <w:r>
              <w:rPr>
                <w:rFonts w:ascii="Arial" w:cs="Arial" w:eastAsia="Arial" w:hAnsi="Arial"/>
                <w:sz w:val="18"/>
                <w:szCs w:val="18"/>
              </w:rPr>
              <w:t xml:space="preserve">CIO / Transformation</w:t>
            </w:r>
          </w:p>
        </w:tc>
      </w:tr>
    </w:tbl>
    <w:p>
      <w:pPr>
        <w:spacing w:before="0" w:after="120"/>
      </w:pPr>
    </w:p>
    <w:p>
      <w:pPr>
        <w:spacing w:before="0" w:after="0"/>
      </w:pPr>
      <w:r>
        <w:rPr>
          <w:rFonts w:ascii="Arial" w:cs="Arial" w:eastAsia="Arial" w:hAnsi="Arial"/>
          <w:i/>
          <w:iCs/>
          <w:color w:val="999999"/>
          <w:sz w:val="16"/>
          <w:szCs w:val="16"/>
        </w:rPr>
        <w:t xml:space="preserve">This document is intended for executive review and decision-making. It does not constitute a final architecture specification, vendor commitment, or investment obligation.</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6"/>
        <w:szCs w:val="16"/>
      </w:rPr>
      <w:t xml:space="preserve">AI-Native Agentic Data Strategy  |  CIO/CTO Executive Brief  |  March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6"/>
        <w:szCs w:val="16"/>
      </w:rPr>
      <w:t xml:space="preserve">AgenticDT — AI-Native Agentic Data Platform</w:t>
    </w:r>
    <w:r>
      <w:rPr>
        <w:rFonts w:ascii="Arial" w:cs="Arial" w:eastAsia="Arial" w:hAnsi="Arial"/>
        <w:sz w:val="16"/>
        <w:szCs w:val="16"/>
      </w:rPr>
      <w:t xml:space="preserve">	</w:t>
    </w:r>
    <w:r>
      <w:rPr>
        <w:rFonts w:ascii="Arial" w:cs="Arial" w:eastAsia="Arial" w:hAnsi="Arial"/>
        <w:b/>
        <w:bCs/>
        <w:color w:val="C000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2026-03-09T15:53:16.697Z</dcterms:created>
  <dcterms:modified xsi:type="dcterms:W3CDTF">2026-03-09T15:53:16.698Z</dcterms:modified>
</cp:coreProperties>
</file>

<file path=docProps/custom.xml><?xml version="1.0" encoding="utf-8"?>
<Properties xmlns="http://schemas.openxmlformats.org/officeDocument/2006/custom-properties" xmlns:vt="http://schemas.openxmlformats.org/officeDocument/2006/docPropsVTypes"/>
</file>