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5"/>
      </w:pPr>
      <w:r>
        <w:rPr>
          <w:rFonts w:ascii="Arial" w:cs="Arial" w:eastAsia="Arial" w:hAnsi="Arial"/>
          <w:b/>
          <w:bCs/>
          <w:color w:val="1A3A5C"/>
          <w:sz w:val="52"/>
          <w:szCs w:val="52"/>
        </w:rPr>
        <w:t xml:space="preserve">AI-Native Agentic Data Platform</w:t>
      </w:r>
    </w:p>
    <w:p>
      <w:pPr>
        <w:spacing w:before="0" w:after="50"/>
      </w:pPr>
      <w:r>
        <w:rPr>
          <w:rFonts w:ascii="Arial" w:cs="Arial" w:eastAsia="Arial" w:hAnsi="Arial"/>
          <w:color w:val="0D5FAA"/>
          <w:sz w:val="28"/>
          <w:szCs w:val="28"/>
        </w:rPr>
        <w:t xml:space="preserve">Executive Strategy Brief</w:t>
      </w:r>
    </w:p>
    <w:p>
      <w:pPr>
        <w:pBdr>
          <w:bottom w:val="single" w:color="0D5FAA" w:sz="14" w:space="5"/>
        </w:pBdr>
        <w:spacing w:before="0" w:after="200"/>
      </w:pPr>
      <w:r>
        <w:rPr>
          <w:rFonts w:ascii="Arial" w:cs="Arial" w:eastAsia="Arial" w:hAnsi="Arial"/>
          <w:color w:val="666666"/>
          <w:sz w:val="17"/>
          <w:szCs w:val="17"/>
        </w:rPr>
        <w:t xml:space="preserve">Prepared for CIO &amp; CTO Leadership   |   March 2026   |   Version 3.0</w:t>
      </w:r>
    </w:p>
    <w:p>
      <w:pPr>
        <w:pBdr>
          <w:bottom w:val="single" w:color="0D5FAA" w:sz="10" w:space="5"/>
        </w:pBdr>
        <w:spacing w:before="240" w:after="90"/>
      </w:pPr>
      <w:r>
        <w:rPr>
          <w:rFonts w:ascii="Arial" w:cs="Arial" w:eastAsia="Arial" w:hAnsi="Arial"/>
          <w:b/>
          <w:bCs/>
          <w:color w:val="1A3A5C"/>
          <w:sz w:val="28"/>
          <w:szCs w:val="28"/>
        </w:rPr>
        <w:t xml:space="preserve">1.   Strategic Vision</w:t>
      </w:r>
    </w:p>
    <w:p>
      <w:pPr>
        <w:spacing w:before="90" w:after="65"/>
      </w:pPr>
      <w:r>
        <w:rPr>
          <w:rFonts w:ascii="Arial" w:cs="Arial" w:eastAsia="Arial" w:hAnsi="Arial"/>
          <w:sz w:val="19"/>
          <w:szCs w:val="19"/>
        </w:rPr>
        <w:t xml:space="preserve">Our current data estate is a series of static tools, manual configurations, and human-gated handoffs that create a ‘Data Liquidity Trap’ — information exists but cannot be accessed, trusted, or acted upon at the speed the business demands. Every delayed pipeline, every manual audit, every undocumented schema is a friction point that compounds into lost competitive advantage.</w:t>
      </w:r>
    </w:p>
    <w:p>
      <w:pPr>
        <w:spacing w:before="50" w:after="70"/>
      </w:pPr>
      <w:r>
        <w:rPr>
          <w:rFonts w:ascii="Arial" w:cs="Arial" w:eastAsia="Arial" w:hAnsi="Arial"/>
          <w:sz w:val="19"/>
          <w:szCs w:val="19"/>
        </w:rPr>
        <w:t xml:space="preserve">By moving to an Agentic Platform, we replace those human gates with autonomous guardrails. AgenticDT is our strategic response: a purpose-built, AI-native data operating system that self-regulates, self-heals, and delivers insights at the speed of a digital-native competitor. This is not a platform upgrade — it is a fundamental shift in how the organisation relates to its data.</w:t>
      </w:r>
    </w:p>
    <w:p>
      <w:pPr>
        <w:spacing w:before="150" w:after="50"/>
      </w:pPr>
      <w:r>
        <w:rPr>
          <w:rFonts w:ascii="Arial" w:cs="Arial" w:eastAsia="Arial" w:hAnsi="Arial"/>
          <w:b/>
          <w:bCs/>
          <w:color w:val="0E7490"/>
          <w:sz w:val="21"/>
          <w:szCs w:val="21"/>
        </w:rPr>
        <w:t xml:space="preserve">Business Reason and Need</w:t>
      </w:r>
    </w:p>
    <w:p>
      <w:pPr>
        <w:spacing w:before="50" w:after="70"/>
      </w:pPr>
      <w:r>
        <w:rPr>
          <w:rFonts w:ascii="Arial" w:cs="Arial" w:eastAsia="Arial" w:hAnsi="Arial"/>
          <w:sz w:val="19"/>
          <w:szCs w:val="19"/>
        </w:rPr>
        <w:t xml:space="preserve">AgenticDT directly addresses the three sources of data friction that constrain technology leadership today:</w:t>
      </w:r>
    </w:p>
    <w:p>
      <w:pPr>
        <w:pStyle w:val="ListParagraph"/>
        <w:numPr>
          <w:ilvl w:val="0"/>
          <w:numId w:val="2"/>
        </w:numPr>
        <w:spacing w:before="40" w:after="40"/>
      </w:pPr>
      <w:r>
        <w:rPr>
          <w:rFonts w:ascii="Arial" w:cs="Arial" w:eastAsia="Arial" w:hAnsi="Arial"/>
          <w:b/>
          <w:bCs/>
          <w:color w:val="1A3A5C"/>
          <w:sz w:val="19"/>
          <w:szCs w:val="19"/>
        </w:rPr>
        <w:t xml:space="preserve">Speed to Value: </w:t>
      </w:r>
      <w:r>
        <w:rPr>
          <w:rFonts w:ascii="Arial" w:cs="Arial" w:eastAsia="Arial" w:hAnsi="Arial"/>
          <w:sz w:val="19"/>
          <w:szCs w:val="19"/>
        </w:rPr>
        <w:t xml:space="preserve">Data engineering backlogs prevent business teams from acting on insights. AI agents automate ingestion, cataloguing, quality remediation, and publishing — compressing time-to-insight from weeks to hours and removing the ‘Request-to-Build’ bottleneck entirely.</w:t>
      </w:r>
    </w:p>
    <w:p>
      <w:pPr>
        <w:pStyle w:val="ListParagraph"/>
        <w:numPr>
          <w:ilvl w:val="0"/>
          <w:numId w:val="2"/>
        </w:numPr>
        <w:spacing w:before="40" w:after="40"/>
      </w:pPr>
      <w:r>
        <w:rPr>
          <w:rFonts w:ascii="Arial" w:cs="Arial" w:eastAsia="Arial" w:hAnsi="Arial"/>
          <w:b/>
          <w:bCs/>
          <w:color w:val="1A3A5C"/>
          <w:sz w:val="19"/>
          <w:szCs w:val="19"/>
        </w:rPr>
        <w:t xml:space="preserve">Trust at Scale: </w:t>
      </w:r>
      <w:r>
        <w:rPr>
          <w:rFonts w:ascii="Arial" w:cs="Arial" w:eastAsia="Arial" w:hAnsi="Arial"/>
          <w:sz w:val="19"/>
          <w:szCs w:val="19"/>
        </w:rPr>
        <w:t xml:space="preserve">Inconsistent definitions, undocumented lineage, and point-in-time manual audits create regulatory exposure. AgenticDT enforces standards continuously, traces every transformation, and applies compliance policy at the moment of ingestion — turning a 3-week audit cycle into a 3-second automated gate.</w:t>
      </w:r>
    </w:p>
    <w:p>
      <w:pPr>
        <w:pStyle w:val="ListParagraph"/>
        <w:numPr>
          <w:ilvl w:val="0"/>
          <w:numId w:val="2"/>
        </w:numPr>
        <w:spacing w:before="40" w:after="40"/>
      </w:pPr>
      <w:r>
        <w:rPr>
          <w:rFonts w:ascii="Arial" w:cs="Arial" w:eastAsia="Arial" w:hAnsi="Arial"/>
          <w:b/>
          <w:bCs/>
          <w:color w:val="1A3A5C"/>
          <w:sz w:val="19"/>
          <w:szCs w:val="19"/>
        </w:rPr>
        <w:t xml:space="preserve">Platform Agility: </w:t>
      </w:r>
      <w:r>
        <w:rPr>
          <w:rFonts w:ascii="Arial" w:cs="Arial" w:eastAsia="Arial" w:hAnsi="Arial"/>
          <w:sz w:val="19"/>
          <w:szCs w:val="19"/>
        </w:rPr>
        <w:t xml:space="preserve">Proprietary lock-in and monolithic architectures slow adoption of emerging AI capabilities. AgenticDT is model-agnostic, vendor-neutral, and extensible by design — enabling best-of-breed adoption and the ability to integrate a new entity or line of business in days, not months.</w:t>
      </w:r>
    </w:p>
    <w:p>
      <w:pPr>
        <w:pBdr>
          <w:bottom w:val="single" w:color="0D5FAA" w:sz="10" w:space="5"/>
        </w:pBdr>
        <w:spacing w:before="240" w:after="90"/>
      </w:pPr>
      <w:r>
        <w:rPr>
          <w:rFonts w:ascii="Arial" w:cs="Arial" w:eastAsia="Arial" w:hAnsi="Arial"/>
          <w:b/>
          <w:bCs/>
          <w:color w:val="1A3A5C"/>
          <w:sz w:val="28"/>
          <w:szCs w:val="28"/>
        </w:rPr>
        <w:t xml:space="preserve">2.   Core Tenets</w:t>
      </w:r>
    </w:p>
    <w:p>
      <w:pPr>
        <w:spacing w:before="90" w:after="110"/>
      </w:pPr>
      <w:r>
        <w:rPr>
          <w:rFonts w:ascii="Arial" w:cs="Arial" w:eastAsia="Arial" w:hAnsi="Arial"/>
          <w:sz w:val="19"/>
          <w:szCs w:val="19"/>
        </w:rPr>
        <w:t xml:space="preserve">The platform’s design is governed by four strategic tenet groups. These are non-negotiable architectural constraints — not aspirational targets. Each is grounded in a concrete ‘anti-friction’ business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5D8EC" w:sz="4"/>
              <w:left w:val="single" w:color="C5D8EC" w:sz="4"/>
              <w:bottom w:val="single" w:color="C5D8EC" w:sz="4"/>
              <w:right w:val="single" w:color="C5D8EC" w:sz="4"/>
            </w:tcBorders>
            <w:shd w:fill="E8F3FC" w:val="clear"/>
            <w:tcMar>
              <w:top w:type="dxa" w:w="120"/>
              <w:left w:type="dxa" w:w="150"/>
              <w:bottom w:type="dxa" w:w="120"/>
              <w:right w:type="dxa" w:w="150"/>
            </w:tcMar>
          </w:tcPr>
          <w:p>
            <w:pPr>
              <w:spacing w:before="0" w:after="55"/>
            </w:pPr>
            <w:r>
              <w:rPr>
                <w:rFonts w:ascii="Arial" w:cs="Arial" w:eastAsia="Arial" w:hAnsi="Arial"/>
                <w:b/>
                <w:bCs/>
                <w:color w:val="0D5FAA"/>
                <w:sz w:val="21"/>
                <w:szCs w:val="21"/>
              </w:rPr>
              <w:t xml:space="preserve">①  </w:t>
            </w:r>
            <w:r>
              <w:rPr>
                <w:rFonts w:ascii="Arial" w:cs="Arial" w:eastAsia="Arial" w:hAnsi="Arial"/>
                <w:b/>
                <w:bCs/>
                <w:color w:val="1A3A5C"/>
                <w:sz w:val="19"/>
                <w:szCs w:val="19"/>
              </w:rPr>
              <w:t xml:space="preserve">Intelligent Interfaces &amp; Discovery</w:t>
            </w:r>
          </w:p>
          <w:p>
            <w:pPr>
              <w:pStyle w:val="ListParagraph"/>
              <w:numPr>
                <w:ilvl w:val="0"/>
                <w:numId w:val="2"/>
              </w:numPr>
              <w:spacing w:before="25" w:after="25"/>
            </w:pPr>
            <w:r>
              <w:rPr>
                <w:rFonts w:ascii="Arial" w:cs="Arial" w:eastAsia="Arial" w:hAnsi="Arial"/>
                <w:sz w:val="17"/>
                <w:szCs w:val="17"/>
              </w:rPr>
              <w:t xml:space="preserve">Natural language, chat, and voice as the primary interface — SQL and code become implementation details, not user requirements</w:t>
            </w:r>
          </w:p>
          <w:p>
            <w:pPr>
              <w:pStyle w:val="ListParagraph"/>
              <w:numPr>
                <w:ilvl w:val="0"/>
                <w:numId w:val="2"/>
              </w:numPr>
              <w:spacing w:before="25" w:after="25"/>
            </w:pPr>
            <w:r>
              <w:rPr>
                <w:rFonts w:ascii="Arial" w:cs="Arial" w:eastAsia="Arial" w:hAnsi="Arial"/>
                <w:sz w:val="17"/>
                <w:szCs w:val="17"/>
              </w:rPr>
              <w:t xml:space="preserve">Semantic-First Ingestion maps any raw format (COBOL, JSON, CSV) to a Golden Schema by inferring context, eliminating manual ETL mapping backlogs</w:t>
            </w:r>
          </w:p>
          <w:p>
            <w:pPr>
              <w:pStyle w:val="ListParagraph"/>
              <w:numPr>
                <w:ilvl w:val="0"/>
                <w:numId w:val="2"/>
              </w:numPr>
              <w:spacing w:before="25" w:after="25"/>
            </w:pPr>
            <w:r>
              <w:rPr>
                <w:rFonts w:ascii="Arial" w:cs="Arial" w:eastAsia="Arial" w:hAnsi="Arial"/>
                <w:sz w:val="17"/>
                <w:szCs w:val="17"/>
              </w:rPr>
              <w:t xml:space="preserve">Unified Semantic Layer and Native Vector &amp; Graph capabilities power contextual search, similarity reasoning, and knowledge-graph traversal at enterprise scale</w:t>
            </w:r>
          </w:p>
          <w:p>
            <w:pPr>
              <w:pStyle w:val="ListParagraph"/>
              <w:numPr>
                <w:ilvl w:val="0"/>
                <w:numId w:val="2"/>
              </w:numPr>
              <w:spacing w:before="25" w:after="25"/>
            </w:pPr>
            <w:r>
              <w:rPr>
                <w:rFonts w:ascii="Arial" w:cs="Arial" w:eastAsia="Arial" w:hAnsi="Arial"/>
                <w:sz w:val="17"/>
                <w:szCs w:val="17"/>
              </w:rPr>
              <w:t xml:space="preserve">Automated Labeling converts unstructured data (PDFs, emails, recordings) into embeddings — unlocking the 80% of enterprise data historically ignored</w:t>
            </w:r>
          </w:p>
        </w:tc>
        <w:tc>
          <w:tcPr>
            <w:tcW w:type="dxa" w:w="4680"/>
            <w:tcBorders>
              <w:top w:val="single" w:color="C5D8EC" w:sz="4"/>
              <w:left w:val="single" w:color="C5D8EC" w:sz="4"/>
              <w:bottom w:val="single" w:color="C5D8EC" w:sz="4"/>
              <w:right w:val="single" w:color="C5D8EC" w:sz="4"/>
            </w:tcBorders>
            <w:shd w:fill="EAF7F1" w:val="clear"/>
            <w:tcMar>
              <w:top w:type="dxa" w:w="120"/>
              <w:left w:type="dxa" w:w="150"/>
              <w:bottom w:type="dxa" w:w="120"/>
              <w:right w:type="dxa" w:w="150"/>
            </w:tcMar>
          </w:tcPr>
          <w:p>
            <w:pPr>
              <w:spacing w:before="0" w:after="55"/>
            </w:pPr>
            <w:r>
              <w:rPr>
                <w:rFonts w:ascii="Arial" w:cs="Arial" w:eastAsia="Arial" w:hAnsi="Arial"/>
                <w:b/>
                <w:bCs/>
                <w:color w:val="0D5FAA"/>
                <w:sz w:val="21"/>
                <w:szCs w:val="21"/>
              </w:rPr>
              <w:t xml:space="preserve">②  </w:t>
            </w:r>
            <w:r>
              <w:rPr>
                <w:rFonts w:ascii="Arial" w:cs="Arial" w:eastAsia="Arial" w:hAnsi="Arial"/>
                <w:b/>
                <w:bCs/>
                <w:color w:val="1A3A5C"/>
                <w:sz w:val="19"/>
                <w:szCs w:val="19"/>
              </w:rPr>
              <w:t xml:space="preserve">Trust, Governance &amp; Lineage</w:t>
            </w:r>
          </w:p>
          <w:p>
            <w:pPr>
              <w:pStyle w:val="ListParagraph"/>
              <w:numPr>
                <w:ilvl w:val="0"/>
                <w:numId w:val="2"/>
              </w:numPr>
              <w:spacing w:before="25" w:after="25"/>
            </w:pPr>
            <w:r>
              <w:rPr>
                <w:rFonts w:ascii="Arial" w:cs="Arial" w:eastAsia="Arial" w:hAnsi="Arial"/>
                <w:sz w:val="17"/>
                <w:szCs w:val="17"/>
              </w:rPr>
              <w:t xml:space="preserve">Autonomous Governance &amp; Policy-as-Code: agents act as always-on digital compliance officers, applying GDPR/CCPA/internal risk rules instantly at the landing zone</w:t>
            </w:r>
          </w:p>
          <w:p>
            <w:pPr>
              <w:pStyle w:val="ListParagraph"/>
              <w:numPr>
                <w:ilvl w:val="0"/>
                <w:numId w:val="2"/>
              </w:numPr>
              <w:spacing w:before="25" w:after="25"/>
            </w:pPr>
            <w:r>
              <w:rPr>
                <w:rFonts w:ascii="Arial" w:cs="Arial" w:eastAsia="Arial" w:hAnsi="Arial"/>
                <w:sz w:val="17"/>
                <w:szCs w:val="17"/>
              </w:rPr>
              <w:t xml:space="preserve">Standard Definitions enforce a single version of the truth — no consumer resolves conflicting metrics</w:t>
            </w:r>
          </w:p>
          <w:p>
            <w:pPr>
              <w:pStyle w:val="ListParagraph"/>
              <w:numPr>
                <w:ilvl w:val="0"/>
                <w:numId w:val="2"/>
              </w:numPr>
              <w:spacing w:before="25" w:after="25"/>
            </w:pPr>
            <w:r>
              <w:rPr>
                <w:rFonts w:ascii="Arial" w:cs="Arial" w:eastAsia="Arial" w:hAnsi="Arial"/>
                <w:sz w:val="17"/>
                <w:szCs w:val="17"/>
              </w:rPr>
              <w:t xml:space="preserve">Full Traceability &amp; Lineage tracks every transformation and publish event, creating a regulatory chain of custody for all data products</w:t>
            </w:r>
          </w:p>
          <w:p>
            <w:pPr>
              <w:pStyle w:val="ListParagraph"/>
              <w:numPr>
                <w:ilvl w:val="0"/>
                <w:numId w:val="2"/>
              </w:numPr>
              <w:spacing w:before="25" w:after="25"/>
            </w:pPr>
            <w:r>
              <w:rPr>
                <w:rFonts w:ascii="Arial" w:cs="Arial" w:eastAsia="Arial" w:hAnsi="Arial"/>
                <w:sz w:val="17"/>
                <w:szCs w:val="17"/>
              </w:rPr>
              <w:t xml:space="preserve">Ethics &amp; Bias Observability continuously flags training-set drift and demographic skew before it propagates to production models</w:t>
            </w:r>
          </w:p>
        </w:tc>
      </w:tr>
      <w:tr>
        <w:tc>
          <w:tcPr>
            <w:tcW w:type="dxa" w:w="4680"/>
            <w:tcBorders>
              <w:top w:val="single" w:color="C5D8EC" w:sz="4"/>
              <w:left w:val="single" w:color="C5D8EC" w:sz="4"/>
              <w:bottom w:val="single" w:color="C5D8EC" w:sz="4"/>
              <w:right w:val="single" w:color="C5D8EC" w:sz="4"/>
            </w:tcBorders>
            <w:shd w:fill="FEF8EC" w:val="clear"/>
            <w:tcMar>
              <w:top w:type="dxa" w:w="120"/>
              <w:left w:type="dxa" w:w="150"/>
              <w:bottom w:type="dxa" w:w="120"/>
              <w:right w:type="dxa" w:w="150"/>
            </w:tcMar>
          </w:tcPr>
          <w:p>
            <w:pPr>
              <w:spacing w:before="0" w:after="55"/>
            </w:pPr>
            <w:r>
              <w:rPr>
                <w:rFonts w:ascii="Arial" w:cs="Arial" w:eastAsia="Arial" w:hAnsi="Arial"/>
                <w:b/>
                <w:bCs/>
                <w:color w:val="0D5FAA"/>
                <w:sz w:val="21"/>
                <w:szCs w:val="21"/>
              </w:rPr>
              <w:t xml:space="preserve">③  </w:t>
            </w:r>
            <w:r>
              <w:rPr>
                <w:rFonts w:ascii="Arial" w:cs="Arial" w:eastAsia="Arial" w:hAnsi="Arial"/>
                <w:b/>
                <w:bCs/>
                <w:color w:val="1A3A5C"/>
                <w:sz w:val="19"/>
                <w:szCs w:val="19"/>
              </w:rPr>
              <w:t xml:space="preserve">Self-Healing &amp; Operational Excellence</w:t>
            </w:r>
          </w:p>
          <w:p>
            <w:pPr>
              <w:pStyle w:val="ListParagraph"/>
              <w:numPr>
                <w:ilvl w:val="0"/>
                <w:numId w:val="2"/>
              </w:numPr>
              <w:spacing w:before="25" w:after="25"/>
            </w:pPr>
            <w:r>
              <w:rPr>
                <w:rFonts w:ascii="Arial" w:cs="Arial" w:eastAsia="Arial" w:hAnsi="Arial"/>
                <w:sz w:val="17"/>
                <w:szCs w:val="17"/>
              </w:rPr>
              <w:t xml:space="preserve">Self-Healing Pipelines detect schema drift, build a temporary bridge to prevent downstream failure, and suggest the permanent fix — transitioning teams from ‘fixing plumbing’ to ‘architecting flow’</w:t>
            </w:r>
          </w:p>
          <w:p>
            <w:pPr>
              <w:pStyle w:val="ListParagraph"/>
              <w:numPr>
                <w:ilvl w:val="0"/>
                <w:numId w:val="2"/>
              </w:numPr>
              <w:spacing w:before="25" w:after="25"/>
            </w:pPr>
            <w:r>
              <w:rPr>
                <w:rFonts w:ascii="Arial" w:cs="Arial" w:eastAsia="Arial" w:hAnsi="Arial"/>
                <w:sz w:val="17"/>
                <w:szCs w:val="17"/>
              </w:rPr>
              <w:t xml:space="preserve">Circuit Breaker pattern halts data flow the moment an anomaly is detected, learns from the outcome, and embeds the learning into future detection</w:t>
            </w:r>
          </w:p>
          <w:p>
            <w:pPr>
              <w:pStyle w:val="ListParagraph"/>
              <w:numPr>
                <w:ilvl w:val="0"/>
                <w:numId w:val="2"/>
              </w:numPr>
              <w:spacing w:before="25" w:after="25"/>
            </w:pPr>
            <w:r>
              <w:rPr>
                <w:rFonts w:ascii="Arial" w:cs="Arial" w:eastAsia="Arial" w:hAnsi="Arial"/>
                <w:sz w:val="17"/>
                <w:szCs w:val="17"/>
              </w:rPr>
              <w:t xml:space="preserve">Drift Detection evolves from static triggers to predictive modelling, anticipating failures before they materialise</w:t>
            </w:r>
          </w:p>
          <w:p>
            <w:pPr>
              <w:pStyle w:val="ListParagraph"/>
              <w:numPr>
                <w:ilvl w:val="0"/>
                <w:numId w:val="2"/>
              </w:numPr>
              <w:spacing w:before="25" w:after="25"/>
            </w:pPr>
            <w:r>
              <w:rPr>
                <w:rFonts w:ascii="Arial" w:cs="Arial" w:eastAsia="Arial" w:hAnsi="Arial"/>
                <w:sz w:val="17"/>
                <w:szCs w:val="17"/>
              </w:rPr>
              <w:t xml:space="preserve">Vectorization at Scale supports high-throughput embedding generation across the full data estate for AI/ML workloads without separate infrastructure</w:t>
            </w:r>
          </w:p>
        </w:tc>
        <w:tc>
          <w:tcPr>
            <w:tcW w:type="dxa" w:w="4680"/>
            <w:tcBorders>
              <w:top w:val="single" w:color="C5D8EC" w:sz="4"/>
              <w:left w:val="single" w:color="C5D8EC" w:sz="4"/>
              <w:bottom w:val="single" w:color="C5D8EC" w:sz="4"/>
              <w:right w:val="single" w:color="C5D8EC" w:sz="4"/>
            </w:tcBorders>
            <w:shd w:fill="F3EFFE" w:val="clear"/>
            <w:tcMar>
              <w:top w:type="dxa" w:w="120"/>
              <w:left w:type="dxa" w:w="150"/>
              <w:bottom w:type="dxa" w:w="120"/>
              <w:right w:type="dxa" w:w="150"/>
            </w:tcMar>
          </w:tcPr>
          <w:p>
            <w:pPr>
              <w:spacing w:before="0" w:after="55"/>
            </w:pPr>
            <w:r>
              <w:rPr>
                <w:rFonts w:ascii="Arial" w:cs="Arial" w:eastAsia="Arial" w:hAnsi="Arial"/>
                <w:b/>
                <w:bCs/>
                <w:color w:val="0D5FAA"/>
                <w:sz w:val="21"/>
                <w:szCs w:val="21"/>
              </w:rPr>
              <w:t xml:space="preserve">④  </w:t>
            </w:r>
            <w:r>
              <w:rPr>
                <w:rFonts w:ascii="Arial" w:cs="Arial" w:eastAsia="Arial" w:hAnsi="Arial"/>
                <w:b/>
                <w:bCs/>
                <w:color w:val="1A3A5C"/>
                <w:sz w:val="19"/>
                <w:szCs w:val="19"/>
              </w:rPr>
              <w:t xml:space="preserve">Open, Extensible &amp; Model-Agnostic</w:t>
            </w:r>
          </w:p>
          <w:p>
            <w:pPr>
              <w:pStyle w:val="ListParagraph"/>
              <w:numPr>
                <w:ilvl w:val="0"/>
                <w:numId w:val="2"/>
              </w:numPr>
              <w:spacing w:before="25" w:after="25"/>
            </w:pPr>
            <w:r>
              <w:rPr>
                <w:rFonts w:ascii="Arial" w:cs="Arial" w:eastAsia="Arial" w:hAnsi="Arial"/>
                <w:sz w:val="17"/>
                <w:szCs w:val="17"/>
              </w:rPr>
              <w:t xml:space="preserve">Vendor Neutral architecture: no single provider accounts for more than 30% of any critical capability, preserving strategic optionality as the AI landscape evolves</w:t>
            </w:r>
          </w:p>
          <w:p>
            <w:pPr>
              <w:pStyle w:val="ListParagraph"/>
              <w:numPr>
                <w:ilvl w:val="0"/>
                <w:numId w:val="2"/>
              </w:numPr>
              <w:spacing w:before="25" w:after="25"/>
            </w:pPr>
            <w:r>
              <w:rPr>
                <w:rFonts w:ascii="Arial" w:cs="Arial" w:eastAsia="Arial" w:hAnsi="Arial"/>
                <w:sz w:val="17"/>
                <w:szCs w:val="17"/>
              </w:rPr>
              <w:t xml:space="preserve">Just-in-Time Data Synthesis: agents receive a business intent, locate relevant data, negotiate access via digital certificates, and assemble a virtual view without a permanent ETL build</w:t>
            </w:r>
          </w:p>
          <w:p>
            <w:pPr>
              <w:pStyle w:val="ListParagraph"/>
              <w:numPr>
                <w:ilvl w:val="0"/>
                <w:numId w:val="2"/>
              </w:numPr>
              <w:spacing w:before="25" w:after="25"/>
            </w:pPr>
            <w:r>
              <w:rPr>
                <w:rFonts w:ascii="Arial" w:cs="Arial" w:eastAsia="Arial" w:hAnsi="Arial"/>
                <w:sz w:val="17"/>
                <w:szCs w:val="17"/>
              </w:rPr>
              <w:t xml:space="preserve">Self-Service Capability democratises data access for domain teams without central engineering intervention</w:t>
            </w:r>
          </w:p>
          <w:p>
            <w:pPr>
              <w:pStyle w:val="ListParagraph"/>
              <w:numPr>
                <w:ilvl w:val="0"/>
                <w:numId w:val="2"/>
              </w:numPr>
              <w:spacing w:before="25" w:after="25"/>
            </w:pPr>
            <w:r>
              <w:rPr>
                <w:rFonts w:ascii="Arial" w:cs="Arial" w:eastAsia="Arial" w:hAnsi="Arial"/>
                <w:sz w:val="17"/>
                <w:szCs w:val="17"/>
              </w:rPr>
              <w:t xml:space="preserve">Model Agnostic design supports any current or future LLM or ML framework without platform re-architecture</w:t>
            </w:r>
          </w:p>
        </w:tc>
      </w:tr>
    </w:tbl>
    <w:p>
      <w:r>
        <w:br w:type="page"/>
      </w:r>
    </w:p>
    <w:p>
      <w:pPr>
        <w:pBdr>
          <w:bottom w:val="single" w:color="0D5FAA" w:sz="10" w:space="5"/>
        </w:pBdr>
        <w:spacing w:before="240" w:after="90"/>
      </w:pPr>
      <w:r>
        <w:rPr>
          <w:rFonts w:ascii="Arial" w:cs="Arial" w:eastAsia="Arial" w:hAnsi="Arial"/>
          <w:b/>
          <w:bCs/>
          <w:color w:val="1A3A5C"/>
          <w:sz w:val="28"/>
          <w:szCs w:val="28"/>
        </w:rPr>
        <w:t xml:space="preserve">3.   Business Enablers</w:t>
      </w:r>
    </w:p>
    <w:p>
      <w:pPr>
        <w:spacing w:before="150" w:after="50"/>
      </w:pPr>
      <w:r>
        <w:rPr>
          <w:rFonts w:ascii="Arial" w:cs="Arial" w:eastAsia="Arial" w:hAnsi="Arial"/>
          <w:b/>
          <w:bCs/>
          <w:color w:val="0E7490"/>
          <w:sz w:val="21"/>
          <w:szCs w:val="21"/>
        </w:rPr>
        <w:t xml:space="preserve">Foundational Enablers — Brownfield Environment</w:t>
      </w:r>
    </w:p>
    <w:p>
      <w:pPr>
        <w:spacing w:before="50" w:after="70"/>
      </w:pPr>
      <w:r>
        <w:rPr>
          <w:rFonts w:ascii="Arial" w:cs="Arial" w:eastAsia="Arial" w:hAnsi="Arial"/>
          <w:sz w:val="19"/>
          <w:szCs w:val="19"/>
        </w:rPr>
        <w:t xml:space="preserve">AgenticDT operates within and incrementally modernises an existing technology estate — a greenfield re-platform is not required. The following capabilities are activated in-place:</w:t>
      </w:r>
    </w:p>
    <w:p>
      <w:pPr>
        <w:spacing w:before="0" w:after="9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5D8EC" w:sz="4"/>
              <w:left w:val="single" w:color="C5D8EC" w:sz="4"/>
              <w:bottom w:val="single" w:color="C5D8EC" w:sz="4"/>
              <w:right w:val="single" w:color="C5D8EC" w:sz="4"/>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Enabler</w:t>
            </w:r>
          </w:p>
        </w:tc>
        <w:tc>
          <w:tcPr>
            <w:tcW w:type="dxa" w:w="6880"/>
            <w:tcBorders>
              <w:top w:val="single" w:color="C5D8EC" w:sz="4"/>
              <w:left w:val="single" w:color="C5D8EC" w:sz="4"/>
              <w:bottom w:val="single" w:color="C5D8EC" w:sz="4"/>
              <w:right w:val="single" w:color="C5D8EC" w:sz="4"/>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Strategic Value</w:t>
            </w:r>
          </w:p>
        </w:tc>
      </w:tr>
      <w:tr>
        <w:tc>
          <w:tcPr>
            <w:tcW w:type="dxa" w:w="2480"/>
            <w:tcBorders>
              <w:top w:val="single" w:color="C5D8EC" w:sz="4"/>
              <w:left w:val="single" w:color="C5D8EC" w:sz="4"/>
              <w:bottom w:val="single" w:color="C5D8EC" w:sz="4"/>
              <w:right w:val="single" w:color="C5D8EC" w:sz="4"/>
            </w:tcBorders>
            <w:shd w:fill="E8F3FC" w:val="clear"/>
            <w:tcMar>
              <w:top w:type="dxa" w:w="80"/>
              <w:left w:type="dxa" w:w="120"/>
              <w:bottom w:type="dxa" w:w="80"/>
              <w:right w:type="dxa" w:w="120"/>
            </w:tcMar>
          </w:tcPr>
          <w:p>
            <w:r>
              <w:rPr>
                <w:rFonts w:ascii="Arial" w:cs="Arial" w:eastAsia="Arial" w:hAnsi="Arial"/>
                <w:b/>
                <w:bCs/>
                <w:color w:val="1A3A5C"/>
                <w:sz w:val="18"/>
                <w:szCs w:val="18"/>
              </w:rPr>
              <w:t xml:space="preserve">Connector Library</w:t>
            </w:r>
          </w:p>
        </w:tc>
        <w:tc>
          <w:tcPr>
            <w:tcW w:type="dxa" w:w="6880"/>
            <w:tcBorders>
              <w:top w:val="single" w:color="C5D8EC" w:sz="4"/>
              <w:left w:val="single" w:color="C5D8EC" w:sz="4"/>
              <w:bottom w:val="single" w:color="C5D8EC" w:sz="4"/>
              <w:right w:val="single" w:color="C5D8EC" w:sz="4"/>
            </w:tcBorders>
            <w:shd w:fill="E8F3FC" w:val="clear"/>
            <w:tcMar>
              <w:top w:type="dxa" w:w="80"/>
              <w:left w:type="dxa" w:w="120"/>
              <w:bottom w:type="dxa" w:w="80"/>
              <w:right w:type="dxa" w:w="120"/>
            </w:tcMar>
          </w:tcPr>
          <w:p>
            <w:r>
              <w:rPr>
                <w:rFonts w:ascii="Arial" w:cs="Arial" w:eastAsia="Arial" w:hAnsi="Arial"/>
                <w:sz w:val="18"/>
                <w:szCs w:val="18"/>
              </w:rPr>
              <w:t xml:space="preserve">Pre-built integrations for Confluent/MSK, Apache Flink, Spark, Airflow, Snowflake, S3, Teradata, and REST APIs eliminate integration sprints and accelerate source onboarding.</w:t>
            </w:r>
          </w:p>
        </w:tc>
      </w:tr>
      <w:tr>
        <w:tc>
          <w:tcPr>
            <w:tcW w:type="dxa" w:w="2480"/>
            <w:tcBorders>
              <w:top w:val="single" w:color="C5D8EC" w:sz="4"/>
              <w:left w:val="single" w:color="C5D8EC" w:sz="4"/>
              <w:bottom w:val="single" w:color="C5D8EC" w:sz="4"/>
              <w:right w:val="single" w:color="C5D8EC" w:sz="4"/>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AI Agent Orchestration</w:t>
            </w:r>
          </w:p>
        </w:tc>
        <w:tc>
          <w:tcPr>
            <w:tcW w:type="dxa" w:w="6880"/>
            <w:tcBorders>
              <w:top w:val="single" w:color="C5D8EC" w:sz="4"/>
              <w:left w:val="single" w:color="C5D8EC" w:sz="4"/>
              <w:bottom w:val="single" w:color="C5D8EC" w:sz="4"/>
              <w:right w:val="single" w:color="C5D8EC" w:sz="4"/>
            </w:tcBorders>
            <w:shd w:fill="FFFFFF" w:val="clear"/>
            <w:tcMar>
              <w:top w:type="dxa" w:w="80"/>
              <w:left w:type="dxa" w:w="120"/>
              <w:bottom w:type="dxa" w:w="80"/>
              <w:right w:type="dxa" w:w="120"/>
            </w:tcMar>
          </w:tcPr>
          <w:p>
            <w:r>
              <w:rPr>
                <w:rFonts w:ascii="Arial" w:cs="Arial" w:eastAsia="Arial" w:hAnsi="Arial"/>
                <w:sz w:val="18"/>
                <w:szCs w:val="18"/>
              </w:rPr>
              <w:t xml:space="preserve">38 active AI agents operate autonomously across ingestion, quality, metadata, self-healing, and publishing workflows — replacing manual runbooks with auditable agentic automation.</w:t>
            </w:r>
          </w:p>
        </w:tc>
      </w:tr>
      <w:tr>
        <w:tc>
          <w:tcPr>
            <w:tcW w:type="dxa" w:w="2480"/>
            <w:tcBorders>
              <w:top w:val="single" w:color="C5D8EC" w:sz="4"/>
              <w:left w:val="single" w:color="C5D8EC" w:sz="4"/>
              <w:bottom w:val="single" w:color="C5D8EC" w:sz="4"/>
              <w:right w:val="single" w:color="C5D8EC" w:sz="4"/>
            </w:tcBorders>
            <w:shd w:fill="E8F3FC" w:val="clear"/>
            <w:tcMar>
              <w:top w:type="dxa" w:w="80"/>
              <w:left w:type="dxa" w:w="120"/>
              <w:bottom w:type="dxa" w:w="80"/>
              <w:right w:type="dxa" w:w="120"/>
            </w:tcMar>
          </w:tcPr>
          <w:p>
            <w:r>
              <w:rPr>
                <w:rFonts w:ascii="Arial" w:cs="Arial" w:eastAsia="Arial" w:hAnsi="Arial"/>
                <w:b/>
                <w:bCs/>
                <w:color w:val="1A3A5C"/>
                <w:sz w:val="18"/>
                <w:szCs w:val="18"/>
              </w:rPr>
              <w:t xml:space="preserve">Semantic Registry</w:t>
            </w:r>
          </w:p>
        </w:tc>
        <w:tc>
          <w:tcPr>
            <w:tcW w:type="dxa" w:w="6880"/>
            <w:tcBorders>
              <w:top w:val="single" w:color="C5D8EC" w:sz="4"/>
              <w:left w:val="single" w:color="C5D8EC" w:sz="4"/>
              <w:bottom w:val="single" w:color="C5D8EC" w:sz="4"/>
              <w:right w:val="single" w:color="C5D8EC" w:sz="4"/>
            </w:tcBorders>
            <w:shd w:fill="E8F3FC" w:val="clear"/>
            <w:tcMar>
              <w:top w:type="dxa" w:w="80"/>
              <w:left w:type="dxa" w:w="120"/>
              <w:bottom w:type="dxa" w:w="80"/>
              <w:right w:type="dxa" w:w="120"/>
            </w:tcMar>
          </w:tcPr>
          <w:p>
            <w:r>
              <w:rPr>
                <w:rFonts w:ascii="Arial" w:cs="Arial" w:eastAsia="Arial" w:hAnsi="Arial"/>
                <w:sz w:val="18"/>
                <w:szCs w:val="18"/>
              </w:rPr>
              <w:t xml:space="preserve">1,842 registered schemas with full lineage provide an always-current semantic foundation, enabling governance and discovery without manual curation overhead.</w:t>
            </w:r>
          </w:p>
        </w:tc>
      </w:tr>
      <w:tr>
        <w:tc>
          <w:tcPr>
            <w:tcW w:type="dxa" w:w="2480"/>
            <w:tcBorders>
              <w:top w:val="single" w:color="C5D8EC" w:sz="4"/>
              <w:left w:val="single" w:color="C5D8EC" w:sz="4"/>
              <w:bottom w:val="single" w:color="C5D8EC" w:sz="4"/>
              <w:right w:val="single" w:color="C5D8EC" w:sz="4"/>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Self-Healing Pipelines</w:t>
            </w:r>
          </w:p>
        </w:tc>
        <w:tc>
          <w:tcPr>
            <w:tcW w:type="dxa" w:w="6880"/>
            <w:tcBorders>
              <w:top w:val="single" w:color="C5D8EC" w:sz="4"/>
              <w:left w:val="single" w:color="C5D8EC" w:sz="4"/>
              <w:bottom w:val="single" w:color="C5D8EC" w:sz="4"/>
              <w:right w:val="single" w:color="C5D8EC" w:sz="4"/>
            </w:tcBorders>
            <w:shd w:fill="FFFFFF" w:val="clear"/>
            <w:tcMar>
              <w:top w:type="dxa" w:w="80"/>
              <w:left w:type="dxa" w:w="120"/>
              <w:bottom w:type="dxa" w:w="80"/>
              <w:right w:type="dxa" w:w="120"/>
            </w:tcMar>
          </w:tcPr>
          <w:p>
            <w:r>
              <w:rPr>
                <w:rFonts w:ascii="Arial" w:cs="Arial" w:eastAsia="Arial" w:hAnsi="Arial"/>
                <w:sz w:val="18"/>
                <w:szCs w:val="18"/>
              </w:rPr>
              <w:t xml:space="preserve">Automated root-cause detection and patch application reduce mean-time-to-recovery from hours to minutes, with complete compliance audit trails.</w:t>
            </w:r>
          </w:p>
        </w:tc>
      </w:tr>
      <w:tr>
        <w:tc>
          <w:tcPr>
            <w:tcW w:type="dxa" w:w="2480"/>
            <w:tcBorders>
              <w:top w:val="single" w:color="C5D8EC" w:sz="4"/>
              <w:left w:val="single" w:color="C5D8EC" w:sz="4"/>
              <w:bottom w:val="single" w:color="C5D8EC" w:sz="4"/>
              <w:right w:val="single" w:color="C5D8EC" w:sz="4"/>
            </w:tcBorders>
            <w:shd w:fill="E8F3FC" w:val="clear"/>
            <w:tcMar>
              <w:top w:type="dxa" w:w="80"/>
              <w:left w:type="dxa" w:w="120"/>
              <w:bottom w:type="dxa" w:w="80"/>
              <w:right w:type="dxa" w:w="120"/>
            </w:tcMar>
          </w:tcPr>
          <w:p>
            <w:r>
              <w:rPr>
                <w:rFonts w:ascii="Arial" w:cs="Arial" w:eastAsia="Arial" w:hAnsi="Arial"/>
                <w:b/>
                <w:bCs/>
                <w:color w:val="1A3A5C"/>
                <w:sz w:val="18"/>
                <w:szCs w:val="18"/>
              </w:rPr>
              <w:t xml:space="preserve">JIT Data Synthesis</w:t>
            </w:r>
          </w:p>
        </w:tc>
        <w:tc>
          <w:tcPr>
            <w:tcW w:type="dxa" w:w="6880"/>
            <w:tcBorders>
              <w:top w:val="single" w:color="C5D8EC" w:sz="4"/>
              <w:left w:val="single" w:color="C5D8EC" w:sz="4"/>
              <w:bottom w:val="single" w:color="C5D8EC" w:sz="4"/>
              <w:right w:val="single" w:color="C5D8EC" w:sz="4"/>
            </w:tcBorders>
            <w:shd w:fill="E8F3FC" w:val="clear"/>
            <w:tcMar>
              <w:top w:type="dxa" w:w="80"/>
              <w:left w:type="dxa" w:w="120"/>
              <w:bottom w:type="dxa" w:w="80"/>
              <w:right w:type="dxa" w:w="120"/>
            </w:tcMar>
          </w:tcPr>
          <w:p>
            <w:r>
              <w:rPr>
                <w:rFonts w:ascii="Arial" w:cs="Arial" w:eastAsia="Arial" w:hAnsi="Arial"/>
                <w:sz w:val="18"/>
                <w:szCs w:val="18"/>
              </w:rPr>
              <w:t xml:space="preserve">Agents locate data, negotiate access, and assemble virtual views on demand — eliminating weeks-long Request-to-Build cycles for ad hoc business needs.</w:t>
            </w:r>
          </w:p>
        </w:tc>
      </w:tr>
      <w:tr>
        <w:tc>
          <w:tcPr>
            <w:tcW w:type="dxa" w:w="2480"/>
            <w:tcBorders>
              <w:top w:val="single" w:color="C5D8EC" w:sz="4"/>
              <w:left w:val="single" w:color="C5D8EC" w:sz="4"/>
              <w:bottom w:val="single" w:color="C5D8EC" w:sz="4"/>
              <w:right w:val="single" w:color="C5D8EC" w:sz="4"/>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Multi-Interface Access</w:t>
            </w:r>
          </w:p>
        </w:tc>
        <w:tc>
          <w:tcPr>
            <w:tcW w:type="dxa" w:w="6880"/>
            <w:tcBorders>
              <w:top w:val="single" w:color="C5D8EC" w:sz="4"/>
              <w:left w:val="single" w:color="C5D8EC" w:sz="4"/>
              <w:bottom w:val="single" w:color="C5D8EC" w:sz="4"/>
              <w:right w:val="single" w:color="C5D8EC" w:sz="4"/>
            </w:tcBorders>
            <w:shd w:fill="FFFFFF" w:val="clear"/>
            <w:tcMar>
              <w:top w:type="dxa" w:w="80"/>
              <w:left w:type="dxa" w:w="120"/>
              <w:bottom w:type="dxa" w:w="80"/>
              <w:right w:type="dxa" w:w="120"/>
            </w:tcMar>
          </w:tcPr>
          <w:p>
            <w:r>
              <w:rPr>
                <w:rFonts w:ascii="Arial" w:cs="Arial" w:eastAsia="Arial" w:hAnsi="Arial"/>
                <w:sz w:val="18"/>
                <w:szCs w:val="18"/>
              </w:rPr>
              <w:t xml:space="preserve">Web (React/Vite), native iOS (SwiftUI), and programmatic APIs — with natural language and voice as first-class interaction modes for every persona.</w:t>
            </w:r>
          </w:p>
        </w:tc>
      </w:tr>
    </w:tbl>
    <w:p>
      <w:pPr>
        <w:spacing w:before="0" w:after="75"/>
      </w:pPr>
    </w:p>
    <w:p>
      <w:pPr>
        <w:pBdr>
          <w:bottom w:val="single" w:color="0D5FAA" w:sz="10" w:space="5"/>
        </w:pBdr>
        <w:spacing w:before="240" w:after="90"/>
      </w:pPr>
      <w:r>
        <w:rPr>
          <w:rFonts w:ascii="Arial" w:cs="Arial" w:eastAsia="Arial" w:hAnsi="Arial"/>
          <w:b/>
          <w:bCs/>
          <w:color w:val="1A3A5C"/>
          <w:sz w:val="28"/>
          <w:szCs w:val="28"/>
        </w:rPr>
        <w:t xml:space="preserve">4.   Strategy Details</w:t>
      </w:r>
    </w:p>
    <w:p>
      <w:pPr>
        <w:spacing w:before="150" w:after="50"/>
      </w:pPr>
      <w:r>
        <w:rPr>
          <w:rFonts w:ascii="Arial" w:cs="Arial" w:eastAsia="Arial" w:hAnsi="Arial"/>
          <w:b/>
          <w:bCs/>
          <w:color w:val="0E7490"/>
          <w:sz w:val="21"/>
          <w:szCs w:val="21"/>
        </w:rPr>
        <w:t xml:space="preserve">Four Strategic Pillars</w:t>
      </w:r>
    </w:p>
    <w:p>
      <w:pPr>
        <w:spacing w:before="50" w:after="110"/>
      </w:pPr>
      <w:r>
        <w:rPr>
          <w:rFonts w:ascii="Arial" w:cs="Arial" w:eastAsia="Arial" w:hAnsi="Arial"/>
          <w:sz w:val="19"/>
          <w:szCs w:val="19"/>
        </w:rPr>
        <w:t xml:space="preserve">The strategy is operationalised through four interdependent pillars that form a complete data value chain. Each is independently deliverable but compounding in value when activated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5D8EC" w:sz="4"/>
              <w:left w:val="single" w:color="C5D8EC" w:sz="4"/>
              <w:bottom w:val="single" w:color="C5D8EC" w:sz="4"/>
              <w:right w:val="single" w:color="C5D8EC" w:sz="4"/>
            </w:tcBorders>
            <w:shd w:fill="E8F3FC" w:val="clear"/>
            <w:tcMar>
              <w:top w:type="dxa" w:w="120"/>
              <w:left w:type="dxa" w:w="140"/>
              <w:bottom w:type="dxa" w:w="120"/>
              <w:right w:type="dxa" w:w="140"/>
            </w:tcMar>
            <w:vAlign w:val="top"/>
          </w:tcPr>
          <w:p>
            <w:pPr>
              <w:spacing w:before="0" w:after="25"/>
            </w:pPr>
            <w:r>
              <w:rPr>
                <w:rFonts w:ascii="Arial" w:cs="Arial" w:eastAsia="Arial" w:hAnsi="Arial"/>
                <w:b/>
                <w:bCs/>
                <w:color w:val="0D5FAA"/>
                <w:sz w:val="38"/>
                <w:szCs w:val="38"/>
              </w:rPr>
              <w:t xml:space="preserve">01</w:t>
            </w:r>
          </w:p>
          <w:p>
            <w:pPr>
              <w:spacing w:before="0" w:after="50"/>
            </w:pPr>
            <w:r>
              <w:rPr>
                <w:rFonts w:ascii="Arial" w:cs="Arial" w:eastAsia="Arial" w:hAnsi="Arial"/>
                <w:b/>
                <w:bCs/>
                <w:color w:val="1A3A5C"/>
                <w:sz w:val="19"/>
                <w:szCs w:val="19"/>
              </w:rPr>
              <w:t xml:space="preserve">Ingest &amp; Stream</w:t>
            </w:r>
          </w:p>
          <w:p>
            <w:pPr>
              <w:spacing w:before="0" w:after="0"/>
            </w:pPr>
            <w:r>
              <w:rPr>
                <w:rFonts w:ascii="Arial" w:cs="Arial" w:eastAsia="Arial" w:hAnsi="Arial"/>
                <w:color w:val="444444"/>
                <w:sz w:val="17"/>
                <w:szCs w:val="17"/>
              </w:rPr>
              <w:t xml:space="preserve">Event-driven ingestion from 284+ sources. Real-time and batch unified under a single agentic layer with automated schema detection.</w:t>
            </w:r>
          </w:p>
        </w:tc>
        <w:tc>
          <w:tcPr>
            <w:tcW w:type="dxa" w:w="2340"/>
            <w:tcBorders>
              <w:top w:val="single" w:color="C5D8EC" w:sz="4"/>
              <w:left w:val="single" w:color="C5D8EC" w:sz="4"/>
              <w:bottom w:val="single" w:color="C5D8EC" w:sz="4"/>
              <w:right w:val="single" w:color="C5D8EC" w:sz="4"/>
            </w:tcBorders>
            <w:shd w:fill="EAF7F1" w:val="clear"/>
            <w:tcMar>
              <w:top w:type="dxa" w:w="120"/>
              <w:left w:type="dxa" w:w="140"/>
              <w:bottom w:type="dxa" w:w="120"/>
              <w:right w:type="dxa" w:w="140"/>
            </w:tcMar>
            <w:vAlign w:val="top"/>
          </w:tcPr>
          <w:p>
            <w:pPr>
              <w:spacing w:before="0" w:after="25"/>
            </w:pPr>
            <w:r>
              <w:rPr>
                <w:rFonts w:ascii="Arial" w:cs="Arial" w:eastAsia="Arial" w:hAnsi="Arial"/>
                <w:b/>
                <w:bCs/>
                <w:color w:val="0D5FAA"/>
                <w:sz w:val="38"/>
                <w:szCs w:val="38"/>
              </w:rPr>
              <w:t xml:space="preserve">02</w:t>
            </w:r>
          </w:p>
          <w:p>
            <w:pPr>
              <w:spacing w:before="0" w:after="50"/>
            </w:pPr>
            <w:r>
              <w:rPr>
                <w:rFonts w:ascii="Arial" w:cs="Arial" w:eastAsia="Arial" w:hAnsi="Arial"/>
                <w:b/>
                <w:bCs/>
                <w:color w:val="1A3A5C"/>
                <w:sz w:val="19"/>
                <w:szCs w:val="19"/>
              </w:rPr>
              <w:t xml:space="preserve">Understand &amp; Catalogue</w:t>
            </w:r>
          </w:p>
          <w:p>
            <w:pPr>
              <w:spacing w:before="0" w:after="0"/>
            </w:pPr>
            <w:r>
              <w:rPr>
                <w:rFonts w:ascii="Arial" w:cs="Arial" w:eastAsia="Arial" w:hAnsi="Arial"/>
                <w:color w:val="444444"/>
                <w:sz w:val="17"/>
                <w:szCs w:val="17"/>
              </w:rPr>
              <w:t xml:space="preserve">Semantic-First ingestion across 1,842 schemas. Knowledge graph and vector store at the architectural centre. Unstructured data as a first-class asset.</w:t>
            </w:r>
          </w:p>
        </w:tc>
        <w:tc>
          <w:tcPr>
            <w:tcW w:type="dxa" w:w="2340"/>
            <w:tcBorders>
              <w:top w:val="single" w:color="C5D8EC" w:sz="4"/>
              <w:left w:val="single" w:color="C5D8EC" w:sz="4"/>
              <w:bottom w:val="single" w:color="C5D8EC" w:sz="4"/>
              <w:right w:val="single" w:color="C5D8EC" w:sz="4"/>
            </w:tcBorders>
            <w:shd w:fill="FEF8EC" w:val="clear"/>
            <w:tcMar>
              <w:top w:type="dxa" w:w="120"/>
              <w:left w:type="dxa" w:w="140"/>
              <w:bottom w:type="dxa" w:w="120"/>
              <w:right w:type="dxa" w:w="140"/>
            </w:tcMar>
            <w:vAlign w:val="top"/>
          </w:tcPr>
          <w:p>
            <w:pPr>
              <w:spacing w:before="0" w:after="25"/>
            </w:pPr>
            <w:r>
              <w:rPr>
                <w:rFonts w:ascii="Arial" w:cs="Arial" w:eastAsia="Arial" w:hAnsi="Arial"/>
                <w:b/>
                <w:bCs/>
                <w:color w:val="0D5FAA"/>
                <w:sz w:val="38"/>
                <w:szCs w:val="38"/>
              </w:rPr>
              <w:t xml:space="preserve">03</w:t>
            </w:r>
          </w:p>
          <w:p>
            <w:pPr>
              <w:spacing w:before="0" w:after="50"/>
            </w:pPr>
            <w:r>
              <w:rPr>
                <w:rFonts w:ascii="Arial" w:cs="Arial" w:eastAsia="Arial" w:hAnsi="Arial"/>
                <w:b/>
                <w:bCs/>
                <w:color w:val="1A3A5C"/>
                <w:sz w:val="19"/>
                <w:szCs w:val="19"/>
              </w:rPr>
              <w:t xml:space="preserve">Govern &amp; Trust</w:t>
            </w:r>
          </w:p>
          <w:p>
            <w:pPr>
              <w:spacing w:before="0" w:after="0"/>
            </w:pPr>
            <w:r>
              <w:rPr>
                <w:rFonts w:ascii="Arial" w:cs="Arial" w:eastAsia="Arial" w:hAnsi="Arial"/>
                <w:color w:val="444444"/>
                <w:sz w:val="17"/>
                <w:szCs w:val="17"/>
              </w:rPr>
              <w:t xml:space="preserve">Policy-as-Code applied at ingestion. Continuous quality scoring at 94.2%. Full lineage, ethics observability, and regulatory defensibility.</w:t>
            </w:r>
          </w:p>
        </w:tc>
        <w:tc>
          <w:tcPr>
            <w:tcW w:type="dxa" w:w="2340"/>
            <w:tcBorders>
              <w:top w:val="single" w:color="C5D8EC" w:sz="4"/>
              <w:left w:val="single" w:color="C5D8EC" w:sz="4"/>
              <w:bottom w:val="single" w:color="C5D8EC" w:sz="4"/>
              <w:right w:val="single" w:color="C5D8EC" w:sz="4"/>
            </w:tcBorders>
            <w:shd w:fill="F3EFFE" w:val="clear"/>
            <w:tcMar>
              <w:top w:type="dxa" w:w="120"/>
              <w:left w:type="dxa" w:w="140"/>
              <w:bottom w:type="dxa" w:w="120"/>
              <w:right w:type="dxa" w:w="140"/>
            </w:tcMar>
            <w:vAlign w:val="top"/>
          </w:tcPr>
          <w:p>
            <w:pPr>
              <w:spacing w:before="0" w:after="25"/>
            </w:pPr>
            <w:r>
              <w:rPr>
                <w:rFonts w:ascii="Arial" w:cs="Arial" w:eastAsia="Arial" w:hAnsi="Arial"/>
                <w:b/>
                <w:bCs/>
                <w:color w:val="0D5FAA"/>
                <w:sz w:val="38"/>
                <w:szCs w:val="38"/>
              </w:rPr>
              <w:t xml:space="preserve">04</w:t>
            </w:r>
          </w:p>
          <w:p>
            <w:pPr>
              <w:spacing w:before="0" w:after="50"/>
            </w:pPr>
            <w:r>
              <w:rPr>
                <w:rFonts w:ascii="Arial" w:cs="Arial" w:eastAsia="Arial" w:hAnsi="Arial"/>
                <w:b/>
                <w:bCs/>
                <w:color w:val="1A3A5C"/>
                <w:sz w:val="19"/>
                <w:szCs w:val="19"/>
              </w:rPr>
              <w:t xml:space="preserve">Act &amp; Deploy</w:t>
            </w:r>
          </w:p>
          <w:p>
            <w:pPr>
              <w:spacing w:before="0" w:after="0"/>
            </w:pPr>
            <w:r>
              <w:rPr>
                <w:rFonts w:ascii="Arial" w:cs="Arial" w:eastAsia="Arial" w:hAnsi="Arial"/>
                <w:color w:val="444444"/>
                <w:sz w:val="17"/>
                <w:szCs w:val="17"/>
              </w:rPr>
              <w:t xml:space="preserve">Natural language and voice AI Assistant. Human-in-the-loop approvals for Tier-1 actions. JIT synthesis for real-time business decisioning.</w:t>
            </w:r>
          </w:p>
        </w:tc>
      </w:tr>
    </w:tbl>
    <w:p>
      <w:pPr>
        <w:spacing w:before="0" w:after="80"/>
      </w:pPr>
    </w:p>
    <w:p>
      <w:pPr>
        <w:spacing w:before="150" w:after="50"/>
      </w:pPr>
      <w:r>
        <w:rPr>
          <w:rFonts w:ascii="Arial" w:cs="Arial" w:eastAsia="Arial" w:hAnsi="Arial"/>
          <w:b/>
          <w:bCs/>
          <w:color w:val="0E7490"/>
          <w:sz w:val="21"/>
          <w:szCs w:val="21"/>
        </w:rPr>
        <w:t xml:space="preserve">Tying Tenets to CEO-Level Outcomes</w:t>
      </w:r>
    </w:p>
    <w:p>
      <w:pPr>
        <w:spacing w:before="0" w:after="7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60"/>
        <w:gridCol w:w="4200"/>
      </w:tblGrid>
      <w:tr>
        <w:tc>
          <w:tcPr>
            <w:tcW w:type="dxa" w:w="2200"/>
            <w:tcBorders>
              <w:top w:val="single" w:color="C5D8EC" w:sz="4"/>
              <w:left w:val="single" w:color="C5D8EC" w:sz="4"/>
              <w:bottom w:val="single" w:color="C5D8EC" w:sz="4"/>
              <w:right w:val="single" w:color="C5D8EC" w:sz="4"/>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Platform Tenet</w:t>
            </w:r>
          </w:p>
        </w:tc>
        <w:tc>
          <w:tcPr>
            <w:tcW w:type="dxa" w:w="2960"/>
            <w:tcBorders>
              <w:top w:val="single" w:color="C5D8EC" w:sz="4"/>
              <w:left w:val="single" w:color="C5D8EC" w:sz="4"/>
              <w:bottom w:val="single" w:color="C5D8EC" w:sz="4"/>
              <w:right w:val="single" w:color="C5D8EC" w:sz="4"/>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Business Outcome</w:t>
            </w:r>
          </w:p>
        </w:tc>
        <w:tc>
          <w:tcPr>
            <w:tcW w:type="dxa" w:w="4200"/>
            <w:tcBorders>
              <w:top w:val="single" w:color="C5D8EC" w:sz="4"/>
              <w:left w:val="single" w:color="C5D8EC" w:sz="4"/>
              <w:bottom w:val="single" w:color="C5D8EC" w:sz="4"/>
              <w:right w:val="single" w:color="C5D8EC" w:sz="4"/>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Value to the Firm</w:t>
            </w:r>
          </w:p>
        </w:tc>
      </w:tr>
      <w:tr>
        <w:tc>
          <w:tcPr>
            <w:tcW w:type="dxa" w:w="2200"/>
            <w:tcBorders>
              <w:top w:val="single" w:color="C5D8EC" w:sz="4"/>
              <w:left w:val="single" w:color="C5D8EC" w:sz="4"/>
              <w:bottom w:val="single" w:color="C5D8EC" w:sz="4"/>
              <w:right w:val="single" w:color="C5D8EC" w:sz="4"/>
            </w:tcBorders>
            <w:shd w:fill="E8F3FC" w:val="clear"/>
            <w:tcMar>
              <w:top w:type="dxa" w:w="75"/>
              <w:left w:type="dxa" w:w="110"/>
              <w:bottom w:type="dxa" w:w="75"/>
              <w:right w:type="dxa" w:w="110"/>
            </w:tcMar>
          </w:tcPr>
          <w:p>
            <w:r>
              <w:rPr>
                <w:rFonts w:ascii="Arial" w:cs="Arial" w:eastAsia="Arial" w:hAnsi="Arial"/>
                <w:b/>
                <w:bCs/>
                <w:color w:val="1A3A5C"/>
                <w:sz w:val="17"/>
                <w:szCs w:val="17"/>
              </w:rPr>
              <w:t xml:space="preserve">Autonomous Governance</w:t>
            </w:r>
          </w:p>
        </w:tc>
        <w:tc>
          <w:tcPr>
            <w:tcW w:type="dxa" w:w="2960"/>
            <w:tcBorders>
              <w:top w:val="single" w:color="C5D8EC" w:sz="4"/>
              <w:left w:val="single" w:color="C5D8EC" w:sz="4"/>
              <w:bottom w:val="single" w:color="C5D8EC" w:sz="4"/>
              <w:right w:val="single" w:color="C5D8EC" w:sz="4"/>
            </w:tcBorders>
            <w:shd w:fill="E8F3FC" w:val="clear"/>
            <w:tcMar>
              <w:top w:type="dxa" w:w="75"/>
              <w:left w:type="dxa" w:w="110"/>
              <w:bottom w:type="dxa" w:w="75"/>
              <w:right w:type="dxa" w:w="110"/>
            </w:tcMar>
          </w:tcPr>
          <w:p>
            <w:r>
              <w:rPr>
                <w:rFonts w:ascii="Arial" w:cs="Arial" w:eastAsia="Arial" w:hAnsi="Arial"/>
                <w:sz w:val="17"/>
                <w:szCs w:val="17"/>
              </w:rPr>
              <w:t xml:space="preserve">Zero-Delay Compliance</w:t>
            </w:r>
          </w:p>
        </w:tc>
        <w:tc>
          <w:tcPr>
            <w:tcW w:type="dxa" w:w="4200"/>
            <w:tcBorders>
              <w:top w:val="single" w:color="C5D8EC" w:sz="4"/>
              <w:left w:val="single" w:color="C5D8EC" w:sz="4"/>
              <w:bottom w:val="single" w:color="C5D8EC" w:sz="4"/>
              <w:right w:val="single" w:color="C5D8EC" w:sz="4"/>
            </w:tcBorders>
            <w:shd w:fill="E8F3FC" w:val="clear"/>
            <w:tcMar>
              <w:top w:type="dxa" w:w="75"/>
              <w:left w:type="dxa" w:w="110"/>
              <w:bottom w:type="dxa" w:w="75"/>
              <w:right w:type="dxa" w:w="110"/>
            </w:tcMar>
          </w:tcPr>
          <w:p>
            <w:r>
              <w:rPr>
                <w:rFonts w:ascii="Arial" w:cs="Arial" w:eastAsia="Arial" w:hAnsi="Arial"/>
                <w:sz w:val="17"/>
                <w:szCs w:val="17"/>
              </w:rPr>
              <w:t xml:space="preserve">Regulatory drag eliminated. Products launch 30% faster because the compliance audit is baked into ingestion, not bolted on after.</w:t>
            </w:r>
          </w:p>
        </w:tc>
      </w:tr>
      <w:tr>
        <w:tc>
          <w:tcPr>
            <w:tcW w:type="dxa" w:w="2200"/>
            <w:tcBorders>
              <w:top w:val="single" w:color="C5D8EC" w:sz="4"/>
              <w:left w:val="single" w:color="C5D8EC" w:sz="4"/>
              <w:bottom w:val="single" w:color="C5D8EC" w:sz="4"/>
              <w:right w:val="single" w:color="C5D8EC" w:sz="4"/>
            </w:tcBorders>
            <w:shd w:fill="FFFFFF" w:val="clear"/>
            <w:tcMar>
              <w:top w:type="dxa" w:w="75"/>
              <w:left w:type="dxa" w:w="110"/>
              <w:bottom w:type="dxa" w:w="75"/>
              <w:right w:type="dxa" w:w="110"/>
            </w:tcMar>
          </w:tcPr>
          <w:p>
            <w:r>
              <w:rPr>
                <w:rFonts w:ascii="Arial" w:cs="Arial" w:eastAsia="Arial" w:hAnsi="Arial"/>
                <w:b/>
                <w:bCs/>
                <w:color w:val="1A3A5C"/>
                <w:sz w:val="17"/>
                <w:szCs w:val="17"/>
              </w:rPr>
              <w:t xml:space="preserve">Semantic-First Ingestion</w:t>
            </w:r>
          </w:p>
        </w:tc>
        <w:tc>
          <w:tcPr>
            <w:tcW w:type="dxa" w:w="2960"/>
            <w:tcBorders>
              <w:top w:val="single" w:color="C5D8EC" w:sz="4"/>
              <w:left w:val="single" w:color="C5D8EC" w:sz="4"/>
              <w:bottom w:val="single" w:color="C5D8EC" w:sz="4"/>
              <w:right w:val="single" w:color="C5D8EC" w:sz="4"/>
            </w:tcBorders>
            <w:shd w:fill="FFFFFF" w:val="clear"/>
            <w:tcMar>
              <w:top w:type="dxa" w:w="75"/>
              <w:left w:type="dxa" w:w="110"/>
              <w:bottom w:type="dxa" w:w="75"/>
              <w:right w:type="dxa" w:w="110"/>
            </w:tcMar>
          </w:tcPr>
          <w:p>
            <w:r>
              <w:rPr>
                <w:rFonts w:ascii="Arial" w:cs="Arial" w:eastAsia="Arial" w:hAnsi="Arial"/>
                <w:sz w:val="17"/>
                <w:szCs w:val="17"/>
              </w:rPr>
              <w:t xml:space="preserve">Data Liquidity</w:t>
            </w:r>
          </w:p>
        </w:tc>
        <w:tc>
          <w:tcPr>
            <w:tcW w:type="dxa" w:w="4200"/>
            <w:tcBorders>
              <w:top w:val="single" w:color="C5D8EC" w:sz="4"/>
              <w:left w:val="single" w:color="C5D8EC" w:sz="4"/>
              <w:bottom w:val="single" w:color="C5D8EC" w:sz="4"/>
              <w:right w:val="single" w:color="C5D8EC" w:sz="4"/>
            </w:tcBorders>
            <w:shd w:fill="FFFFFF" w:val="clear"/>
            <w:tcMar>
              <w:top w:type="dxa" w:w="75"/>
              <w:left w:type="dxa" w:w="110"/>
              <w:bottom w:type="dxa" w:w="75"/>
              <w:right w:type="dxa" w:w="110"/>
            </w:tcMar>
          </w:tcPr>
          <w:p>
            <w:r>
              <w:rPr>
                <w:rFonts w:ascii="Arial" w:cs="Arial" w:eastAsia="Arial" w:hAnsi="Arial"/>
                <w:sz w:val="17"/>
                <w:szCs w:val="17"/>
              </w:rPr>
              <w:t xml:space="preserve">Dark data unlocked. New entities and LOBs integrated in days — not months — while meeting corporate compliance standards.</w:t>
            </w:r>
          </w:p>
        </w:tc>
      </w:tr>
      <w:tr>
        <w:tc>
          <w:tcPr>
            <w:tcW w:type="dxa" w:w="2200"/>
            <w:tcBorders>
              <w:top w:val="single" w:color="C5D8EC" w:sz="4"/>
              <w:left w:val="single" w:color="C5D8EC" w:sz="4"/>
              <w:bottom w:val="single" w:color="C5D8EC" w:sz="4"/>
              <w:right w:val="single" w:color="C5D8EC" w:sz="4"/>
            </w:tcBorders>
            <w:shd w:fill="E8F3FC" w:val="clear"/>
            <w:tcMar>
              <w:top w:type="dxa" w:w="75"/>
              <w:left w:type="dxa" w:w="110"/>
              <w:bottom w:type="dxa" w:w="75"/>
              <w:right w:type="dxa" w:w="110"/>
            </w:tcMar>
          </w:tcPr>
          <w:p>
            <w:r>
              <w:rPr>
                <w:rFonts w:ascii="Arial" w:cs="Arial" w:eastAsia="Arial" w:hAnsi="Arial"/>
                <w:b/>
                <w:bCs/>
                <w:color w:val="1A3A5C"/>
                <w:sz w:val="17"/>
                <w:szCs w:val="17"/>
              </w:rPr>
              <w:t xml:space="preserve">Self-Healing Operations</w:t>
            </w:r>
          </w:p>
        </w:tc>
        <w:tc>
          <w:tcPr>
            <w:tcW w:type="dxa" w:w="2960"/>
            <w:tcBorders>
              <w:top w:val="single" w:color="C5D8EC" w:sz="4"/>
              <w:left w:val="single" w:color="C5D8EC" w:sz="4"/>
              <w:bottom w:val="single" w:color="C5D8EC" w:sz="4"/>
              <w:right w:val="single" w:color="C5D8EC" w:sz="4"/>
            </w:tcBorders>
            <w:shd w:fill="E8F3FC" w:val="clear"/>
            <w:tcMar>
              <w:top w:type="dxa" w:w="75"/>
              <w:left w:type="dxa" w:w="110"/>
              <w:bottom w:type="dxa" w:w="75"/>
              <w:right w:type="dxa" w:w="110"/>
            </w:tcMar>
          </w:tcPr>
          <w:p>
            <w:r>
              <w:rPr>
                <w:rFonts w:ascii="Arial" w:cs="Arial" w:eastAsia="Arial" w:hAnsi="Arial"/>
                <w:sz w:val="17"/>
                <w:szCs w:val="17"/>
              </w:rPr>
              <w:t xml:space="preserve">Operational Excellence</w:t>
            </w:r>
          </w:p>
        </w:tc>
        <w:tc>
          <w:tcPr>
            <w:tcW w:type="dxa" w:w="4200"/>
            <w:tcBorders>
              <w:top w:val="single" w:color="C5D8EC" w:sz="4"/>
              <w:left w:val="single" w:color="C5D8EC" w:sz="4"/>
              <w:bottom w:val="single" w:color="C5D8EC" w:sz="4"/>
              <w:right w:val="single" w:color="C5D8EC" w:sz="4"/>
            </w:tcBorders>
            <w:shd w:fill="E8F3FC" w:val="clear"/>
            <w:tcMar>
              <w:top w:type="dxa" w:w="75"/>
              <w:left w:type="dxa" w:w="110"/>
              <w:bottom w:type="dxa" w:w="75"/>
              <w:right w:type="dxa" w:w="110"/>
            </w:tcMar>
          </w:tcPr>
          <w:p>
            <w:r>
              <w:rPr>
                <w:rFonts w:ascii="Arial" w:cs="Arial" w:eastAsia="Arial" w:hAnsi="Arial"/>
                <w:sz w:val="17"/>
                <w:szCs w:val="17"/>
              </w:rPr>
              <w:t xml:space="preserve">Cost-to-Income ratio improved. Data volume scales 10x without proportional growth in engineering investment.</w:t>
            </w:r>
          </w:p>
        </w:tc>
      </w:tr>
      <w:tr>
        <w:tc>
          <w:tcPr>
            <w:tcW w:type="dxa" w:w="2200"/>
            <w:tcBorders>
              <w:top w:val="single" w:color="C5D8EC" w:sz="4"/>
              <w:left w:val="single" w:color="C5D8EC" w:sz="4"/>
              <w:bottom w:val="single" w:color="C5D8EC" w:sz="4"/>
              <w:right w:val="single" w:color="C5D8EC" w:sz="4"/>
            </w:tcBorders>
            <w:shd w:fill="FFFFFF" w:val="clear"/>
            <w:tcMar>
              <w:top w:type="dxa" w:w="75"/>
              <w:left w:type="dxa" w:w="110"/>
              <w:bottom w:type="dxa" w:w="75"/>
              <w:right w:type="dxa" w:w="110"/>
            </w:tcMar>
          </w:tcPr>
          <w:p>
            <w:r>
              <w:rPr>
                <w:rFonts w:ascii="Arial" w:cs="Arial" w:eastAsia="Arial" w:hAnsi="Arial"/>
                <w:b/>
                <w:bCs/>
                <w:color w:val="1A3A5C"/>
                <w:sz w:val="17"/>
                <w:szCs w:val="17"/>
              </w:rPr>
              <w:t xml:space="preserve">JIT Data Synthesis</w:t>
            </w:r>
          </w:p>
        </w:tc>
        <w:tc>
          <w:tcPr>
            <w:tcW w:type="dxa" w:w="2960"/>
            <w:tcBorders>
              <w:top w:val="single" w:color="C5D8EC" w:sz="4"/>
              <w:left w:val="single" w:color="C5D8EC" w:sz="4"/>
              <w:bottom w:val="single" w:color="C5D8EC" w:sz="4"/>
              <w:right w:val="single" w:color="C5D8EC" w:sz="4"/>
            </w:tcBorders>
            <w:shd w:fill="FFFFFF" w:val="clear"/>
            <w:tcMar>
              <w:top w:type="dxa" w:w="75"/>
              <w:left w:type="dxa" w:w="110"/>
              <w:bottom w:type="dxa" w:w="75"/>
              <w:right w:type="dxa" w:w="110"/>
            </w:tcMar>
          </w:tcPr>
          <w:p>
            <w:r>
              <w:rPr>
                <w:rFonts w:ascii="Arial" w:cs="Arial" w:eastAsia="Arial" w:hAnsi="Arial"/>
                <w:sz w:val="17"/>
                <w:szCs w:val="17"/>
              </w:rPr>
              <w:t xml:space="preserve">Strategic Agility</w:t>
            </w:r>
          </w:p>
        </w:tc>
        <w:tc>
          <w:tcPr>
            <w:tcW w:type="dxa" w:w="4200"/>
            <w:tcBorders>
              <w:top w:val="single" w:color="C5D8EC" w:sz="4"/>
              <w:left w:val="single" w:color="C5D8EC" w:sz="4"/>
              <w:bottom w:val="single" w:color="C5D8EC" w:sz="4"/>
              <w:right w:val="single" w:color="C5D8EC" w:sz="4"/>
            </w:tcBorders>
            <w:shd w:fill="FFFFFF" w:val="clear"/>
            <w:tcMar>
              <w:top w:type="dxa" w:w="75"/>
              <w:left w:type="dxa" w:w="110"/>
              <w:bottom w:type="dxa" w:w="75"/>
              <w:right w:type="dxa" w:w="110"/>
            </w:tcMar>
          </w:tcPr>
          <w:p>
            <w:r>
              <w:rPr>
                <w:rFonts w:ascii="Arial" w:cs="Arial" w:eastAsia="Arial" w:hAnsi="Arial"/>
                <w:sz w:val="17"/>
                <w:szCs w:val="17"/>
              </w:rPr>
              <w:t xml:space="preserve">Real-time decisioning during market volatility. Business pivots in hours because data is a liquid asset, not a static silo.</w:t>
            </w:r>
          </w:p>
        </w:tc>
      </w:tr>
    </w:tbl>
    <w:p>
      <w:pPr>
        <w:spacing w:before="0" w:after="75"/>
      </w:pPr>
    </w:p>
    <w:p>
      <w:pPr>
        <w:pBdr>
          <w:bottom w:val="single" w:color="0D5FAA" w:sz="10" w:space="5"/>
        </w:pBdr>
        <w:spacing w:before="240" w:after="90"/>
      </w:pPr>
      <w:r>
        <w:rPr>
          <w:rFonts w:ascii="Arial" w:cs="Arial" w:eastAsia="Arial" w:hAnsi="Arial"/>
          <w:b/>
          <w:bCs/>
          <w:color w:val="1A3A5C"/>
          <w:sz w:val="28"/>
          <w:szCs w:val="28"/>
        </w:rPr>
        <w:t xml:space="preserve">5.   Architecture Vision</w:t>
      </w:r>
    </w:p>
    <w:p>
      <w:pPr>
        <w:spacing w:before="90" w:after="70"/>
      </w:pPr>
      <w:r>
        <w:rPr>
          <w:rFonts w:ascii="Arial" w:cs="Arial" w:eastAsia="Arial" w:hAnsi="Arial"/>
          <w:sz w:val="19"/>
          <w:szCs w:val="19"/>
        </w:rPr>
        <w:t xml:space="preserve">AgenticDT’s architecture rests on three structural principles that distinguish it from conventional data platforms:</w:t>
      </w:r>
    </w:p>
    <w:p>
      <w:pPr>
        <w:pStyle w:val="ListParagraph"/>
        <w:numPr>
          <w:ilvl w:val="0"/>
          <w:numId w:val="2"/>
        </w:numPr>
        <w:spacing w:before="40" w:after="40"/>
      </w:pPr>
      <w:r>
        <w:rPr>
          <w:rFonts w:ascii="Arial" w:cs="Arial" w:eastAsia="Arial" w:hAnsi="Arial"/>
          <w:b/>
          <w:bCs/>
          <w:color w:val="1A3A5C"/>
          <w:sz w:val="19"/>
          <w:szCs w:val="19"/>
        </w:rPr>
        <w:t xml:space="preserve">Agent-First Orchestration: </w:t>
      </w:r>
      <w:r>
        <w:rPr>
          <w:rFonts w:ascii="Arial" w:cs="Arial" w:eastAsia="Arial" w:hAnsi="Arial"/>
          <w:sz w:val="19"/>
          <w:szCs w:val="19"/>
        </w:rPr>
        <w:t xml:space="preserve">All platform operations are orchestrated by purpose-built AI agents — stateful, auditable, and capable of multi-step reasoning across the full data lifecycle. Human intervention is an escalation path, not the default workflow.</w:t>
      </w:r>
    </w:p>
    <w:p>
      <w:pPr>
        <w:pStyle w:val="ListParagraph"/>
        <w:numPr>
          <w:ilvl w:val="0"/>
          <w:numId w:val="2"/>
        </w:numPr>
        <w:spacing w:before="40" w:after="40"/>
      </w:pPr>
      <w:r>
        <w:rPr>
          <w:rFonts w:ascii="Arial" w:cs="Arial" w:eastAsia="Arial" w:hAnsi="Arial"/>
          <w:b/>
          <w:bCs/>
          <w:color w:val="1A3A5C"/>
          <w:sz w:val="19"/>
          <w:szCs w:val="19"/>
        </w:rPr>
        <w:t xml:space="preserve">Semantic-Centre Design: </w:t>
      </w:r>
      <w:r>
        <w:rPr>
          <w:rFonts w:ascii="Arial" w:cs="Arial" w:eastAsia="Arial" w:hAnsi="Arial"/>
          <w:sz w:val="19"/>
          <w:szCs w:val="19"/>
        </w:rPr>
        <w:t xml:space="preserve">A unified semantic layer — backed by a vector-native knowledge graph — sits at the heart of the architecture. Every data product carries consistent meaning, lineage, and discoverability regardless of the underlying storage technology.</w:t>
      </w:r>
    </w:p>
    <w:p>
      <w:pPr>
        <w:pStyle w:val="ListParagraph"/>
        <w:numPr>
          <w:ilvl w:val="0"/>
          <w:numId w:val="2"/>
        </w:numPr>
        <w:spacing w:before="40" w:after="40"/>
      </w:pPr>
      <w:r>
        <w:rPr>
          <w:rFonts w:ascii="Arial" w:cs="Arial" w:eastAsia="Arial" w:hAnsi="Arial"/>
          <w:b/>
          <w:bCs/>
          <w:color w:val="1A3A5C"/>
          <w:sz w:val="19"/>
          <w:szCs w:val="19"/>
        </w:rPr>
        <w:t xml:space="preserve">Open-by-Default Integration: </w:t>
      </w:r>
      <w:r>
        <w:rPr>
          <w:rFonts w:ascii="Arial" w:cs="Arial" w:eastAsia="Arial" w:hAnsi="Arial"/>
          <w:sz w:val="19"/>
          <w:szCs w:val="19"/>
        </w:rPr>
        <w:t xml:space="preserve">Open APIs and pluggable connectors for every major data and AI ecosystem component. No proprietary wire formats. No vendor-mandated execution engines. The architecture evolves with the industry, not ahead of it.</w:t>
      </w:r>
    </w:p>
    <w:p>
      <w:pPr>
        <w:spacing w:before="100" w:after="75"/>
      </w:pPr>
      <w:r>
        <w:rPr>
          <w:rFonts w:ascii="Arial" w:cs="Arial" w:eastAsia="Arial" w:hAnsi="Arial"/>
          <w:sz w:val="19"/>
          <w:szCs w:val="19"/>
        </w:rPr>
        <w:t xml:space="preserve">Current platform indicators: 247 active pipelines  ·  284 registered sources  ·  94.2% data quality  ·  38 active agents  ·  Web + iOS interfaces in production.</w:t>
      </w:r>
    </w:p>
    <w:p>
      <w:r>
        <w:br w:type="page"/>
      </w:r>
    </w:p>
    <w:p>
      <w:pPr>
        <w:pBdr>
          <w:bottom w:val="single" w:color="0D5FAA" w:sz="10" w:space="5"/>
        </w:pBdr>
        <w:spacing w:before="240" w:after="90"/>
      </w:pPr>
      <w:r>
        <w:rPr>
          <w:rFonts w:ascii="Arial" w:cs="Arial" w:eastAsia="Arial" w:hAnsi="Arial"/>
          <w:b/>
          <w:bCs/>
          <w:color w:val="1A3A5C"/>
          <w:sz w:val="28"/>
          <w:szCs w:val="28"/>
        </w:rPr>
        <w:t xml:space="preserve">6.   What Needs to Pivot</w:t>
      </w:r>
    </w:p>
    <w:p>
      <w:pPr>
        <w:spacing w:before="150" w:after="50"/>
      </w:pPr>
      <w:r>
        <w:rPr>
          <w:rFonts w:ascii="Arial" w:cs="Arial" w:eastAsia="Arial" w:hAnsi="Arial"/>
          <w:b/>
          <w:bCs/>
          <w:color w:val="0E7490"/>
          <w:sz w:val="21"/>
          <w:szCs w:val="21"/>
        </w:rPr>
        <w:t xml:space="preserve">Dependency Risks</w:t>
      </w:r>
    </w:p>
    <w:p>
      <w:pPr>
        <w:pStyle w:val="ListParagraph"/>
        <w:numPr>
          <w:ilvl w:val="0"/>
          <w:numId w:val="2"/>
        </w:numPr>
        <w:spacing w:before="40" w:after="40"/>
      </w:pPr>
      <w:r>
        <w:rPr>
          <w:rFonts w:ascii="Arial" w:cs="Arial" w:eastAsia="Arial" w:hAnsi="Arial"/>
          <w:b/>
          <w:bCs/>
          <w:color w:val="1A3A5C"/>
          <w:sz w:val="19"/>
          <w:szCs w:val="19"/>
        </w:rPr>
        <w:t xml:space="preserve">Vendor Landscape Velocity &amp; Stability: </w:t>
      </w:r>
      <w:r>
        <w:rPr>
          <w:rFonts w:ascii="Arial" w:cs="Arial" w:eastAsia="Arial" w:hAnsi="Arial"/>
          <w:sz w:val="19"/>
          <w:szCs w:val="19"/>
        </w:rPr>
        <w:t xml:space="preserve">The AI tooling and LLM ecosystem is evolving at a pace that outstrips traditional procurement cycles. Vendors anchoring critical capabilities today may consolidate or be superseded within 18 months. Mitigation: no single provider should exceed 30% of any critical capability; all Tier-1 integrations must carry documented substitution paths reviewed quarterly.</w:t>
      </w:r>
    </w:p>
    <w:p>
      <w:pPr>
        <w:pStyle w:val="ListParagraph"/>
        <w:numPr>
          <w:ilvl w:val="0"/>
          <w:numId w:val="2"/>
        </w:numPr>
        <w:spacing w:before="40" w:after="40"/>
      </w:pPr>
      <w:r>
        <w:rPr>
          <w:rFonts w:ascii="Arial" w:cs="Arial" w:eastAsia="Arial" w:hAnsi="Arial"/>
          <w:b/>
          <w:bCs/>
          <w:color w:val="1A3A5C"/>
          <w:sz w:val="19"/>
          <w:szCs w:val="19"/>
        </w:rPr>
        <w:t xml:space="preserve">API Credential Governance: </w:t>
      </w:r>
      <w:r>
        <w:rPr>
          <w:rFonts w:ascii="Arial" w:cs="Arial" w:eastAsia="Arial" w:hAnsi="Arial"/>
          <w:sz w:val="19"/>
          <w:szCs w:val="19"/>
        </w:rPr>
        <w:t xml:space="preserve">Individual users currently supply their own AI provider credentials — appropriate for initial release but a compliance and cost risk at enterprise scale. The planned authentication layer will introduce a backend proxy, enabling organisational rate-limiting, cost attribution, and credential rotation without client-side changes.</w:t>
      </w:r>
    </w:p>
    <w:p>
      <w:pPr>
        <w:spacing w:before="0" w:after="50"/>
      </w:pPr>
    </w:p>
    <w:p>
      <w:pPr>
        <w:spacing w:before="150" w:after="50"/>
      </w:pPr>
      <w:r>
        <w:rPr>
          <w:rFonts w:ascii="Arial" w:cs="Arial" w:eastAsia="Arial" w:hAnsi="Arial"/>
          <w:b/>
          <w:bCs/>
          <w:color w:val="0E7490"/>
          <w:sz w:val="21"/>
          <w:szCs w:val="21"/>
        </w:rPr>
        <w:t xml:space="preserve">Business Risks</w:t>
      </w:r>
    </w:p>
    <w:p>
      <w:pPr>
        <w:pStyle w:val="ListParagraph"/>
        <w:numPr>
          <w:ilvl w:val="0"/>
          <w:numId w:val="2"/>
        </w:numPr>
        <w:spacing w:before="40" w:after="40"/>
      </w:pPr>
      <w:r>
        <w:rPr>
          <w:rFonts w:ascii="Arial" w:cs="Arial" w:eastAsia="Arial" w:hAnsi="Arial"/>
          <w:b/>
          <w:bCs/>
          <w:color w:val="1A3A5C"/>
          <w:sz w:val="19"/>
          <w:szCs w:val="19"/>
        </w:rPr>
        <w:t xml:space="preserve">Adoption Without Governance Maturity: </w:t>
      </w:r>
      <w:r>
        <w:rPr>
          <w:rFonts w:ascii="Arial" w:cs="Arial" w:eastAsia="Arial" w:hAnsi="Arial"/>
          <w:sz w:val="19"/>
          <w:szCs w:val="19"/>
        </w:rPr>
        <w:t xml:space="preserve">Agentic automation that outpaces governance readiness creates silent risk — agents propagate flawed data at speed. The human-in-the-loop approval framework is the primary safeguard and must be enforced for all Tier-1 data actions until automated trust thresholds are formally established and ratified.</w:t>
      </w:r>
    </w:p>
    <w:p>
      <w:pPr>
        <w:pStyle w:val="ListParagraph"/>
        <w:numPr>
          <w:ilvl w:val="0"/>
          <w:numId w:val="2"/>
        </w:numPr>
        <w:spacing w:before="40" w:after="40"/>
      </w:pPr>
      <w:r>
        <w:rPr>
          <w:rFonts w:ascii="Arial" w:cs="Arial" w:eastAsia="Arial" w:hAnsi="Arial"/>
          <w:b/>
          <w:bCs/>
          <w:color w:val="1A3A5C"/>
          <w:sz w:val="19"/>
          <w:szCs w:val="19"/>
        </w:rPr>
        <w:t xml:space="preserve">Skill Transition Gap: </w:t>
      </w:r>
      <w:r>
        <w:rPr>
          <w:rFonts w:ascii="Arial" w:cs="Arial" w:eastAsia="Arial" w:hAnsi="Arial"/>
          <w:sz w:val="19"/>
          <w:szCs w:val="19"/>
        </w:rPr>
        <w:t xml:space="preserve">The shift from manual pipeline engineering to agentic orchestration requires parallel investment in team capability. Data engineers, platform owners, and domain stewards need structured onboarding to supervise autonomous agents effectively and extract the platform’s full value.</w:t>
      </w:r>
    </w:p>
    <w:p>
      <w:pPr>
        <w:pStyle w:val="ListParagraph"/>
        <w:numPr>
          <w:ilvl w:val="0"/>
          <w:numId w:val="2"/>
        </w:numPr>
        <w:spacing w:before="40" w:after="40"/>
      </w:pPr>
      <w:r>
        <w:rPr>
          <w:rFonts w:ascii="Arial" w:cs="Arial" w:eastAsia="Arial" w:hAnsi="Arial"/>
          <w:b/>
          <w:bCs/>
          <w:color w:val="1A3A5C"/>
          <w:sz w:val="19"/>
          <w:szCs w:val="19"/>
        </w:rPr>
        <w:t xml:space="preserve">Roadmap Sequencing: </w:t>
      </w:r>
      <w:r>
        <w:rPr>
          <w:rFonts w:ascii="Arial" w:cs="Arial" w:eastAsia="Arial" w:hAnsi="Arial"/>
          <w:sz w:val="19"/>
          <w:szCs w:val="19"/>
        </w:rPr>
        <w:t xml:space="preserve">User authentication, registration, and backend API proxy are on the critical path. Delaying these extends credential exposure and defers enterprise-scale deployment. Recommended as an immediate fast-follow to the current AI Assistant release.</w:t>
      </w:r>
    </w:p>
    <w:p>
      <w:pPr>
        <w:spacing w:before="0" w:after="80"/>
      </w:pPr>
    </w:p>
    <w:p>
      <w:pPr>
        <w:pBdr>
          <w:top w:val="single" w:color="0D5FAA" w:sz="10" w:space="5"/>
          <w:bottom w:val="single" w:color="DDDDDD" w:sz="2" w:space="4"/>
        </w:pBdr>
        <w:spacing w:before="100" w:after="75"/>
      </w:pPr>
      <w:r>
        <w:rPr>
          <w:rFonts w:ascii="Arial" w:cs="Arial" w:eastAsia="Arial" w:hAnsi="Arial"/>
          <w:b/>
          <w:bCs/>
          <w:color w:val="1A3A5C"/>
          <w:sz w:val="22"/>
          <w:szCs w:val="22"/>
        </w:rPr>
        <w:t xml:space="preserve">Recommended Next Steps for Leadership</w:t>
      </w:r>
    </w:p>
    <w:p>
      <w:pPr>
        <w:spacing w:before="0" w:after="7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80"/>
        <w:gridCol w:w="5880"/>
        <w:gridCol w:w="2000"/>
      </w:tblGrid>
      <w:tr>
        <w:tc>
          <w:tcPr>
            <w:tcW w:type="dxa" w:w="1480"/>
            <w:tcBorders>
              <w:top w:val="single" w:color="C5D8EC" w:sz="4"/>
              <w:left w:val="single" w:color="C5D8EC" w:sz="4"/>
              <w:bottom w:val="single" w:color="C5D8EC" w:sz="4"/>
              <w:right w:val="single" w:color="C5D8EC" w:sz="4"/>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5880"/>
            <w:tcBorders>
              <w:top w:val="single" w:color="C5D8EC" w:sz="4"/>
              <w:left w:val="single" w:color="C5D8EC" w:sz="4"/>
              <w:bottom w:val="single" w:color="C5D8EC" w:sz="4"/>
              <w:right w:val="single" w:color="C5D8EC" w:sz="4"/>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2000"/>
            <w:tcBorders>
              <w:top w:val="single" w:color="C5D8EC" w:sz="4"/>
              <w:left w:val="single" w:color="C5D8EC" w:sz="4"/>
              <w:bottom w:val="single" w:color="C5D8EC" w:sz="4"/>
              <w:right w:val="single" w:color="C5D8EC" w:sz="4"/>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Owner</w:t>
            </w:r>
          </w:p>
        </w:tc>
      </w:tr>
      <w:tr>
        <w:tc>
          <w:tcPr>
            <w:tcW w:type="dxa" w:w="1480"/>
            <w:tcBorders>
              <w:top w:val="single" w:color="C5D8EC" w:sz="4"/>
              <w:left w:val="single" w:color="C5D8EC" w:sz="4"/>
              <w:bottom w:val="single" w:color="C5D8EC" w:sz="4"/>
              <w:right w:val="single" w:color="C5D8EC" w:sz="4"/>
            </w:tcBorders>
            <w:shd w:fill="E8F3FC" w:val="clear"/>
            <w:tcMar>
              <w:top w:type="dxa" w:w="75"/>
              <w:left w:type="dxa" w:w="110"/>
              <w:bottom w:type="dxa" w:w="75"/>
              <w:right w:type="dxa" w:w="110"/>
            </w:tcMar>
          </w:tcPr>
          <w:p>
            <w:r>
              <w:rPr>
                <w:rFonts w:ascii="Arial" w:cs="Arial" w:eastAsia="Arial" w:hAnsi="Arial"/>
                <w:b/>
                <w:bCs/>
                <w:color w:val="1A3A5C"/>
                <w:sz w:val="17"/>
                <w:szCs w:val="17"/>
              </w:rPr>
              <w:t xml:space="preserve">P1 — Now</w:t>
            </w:r>
          </w:p>
        </w:tc>
        <w:tc>
          <w:tcPr>
            <w:tcW w:type="dxa" w:w="5880"/>
            <w:tcBorders>
              <w:top w:val="single" w:color="C5D8EC" w:sz="4"/>
              <w:left w:val="single" w:color="C5D8EC" w:sz="4"/>
              <w:bottom w:val="single" w:color="C5D8EC" w:sz="4"/>
              <w:right w:val="single" w:color="C5D8EC" w:sz="4"/>
            </w:tcBorders>
            <w:shd w:fill="E8F3FC" w:val="clear"/>
            <w:tcMar>
              <w:top w:type="dxa" w:w="75"/>
              <w:left w:type="dxa" w:w="110"/>
              <w:bottom w:type="dxa" w:w="75"/>
              <w:right w:type="dxa" w:w="110"/>
            </w:tcMar>
          </w:tcPr>
          <w:p>
            <w:r>
              <w:rPr>
                <w:rFonts w:ascii="Arial" w:cs="Arial" w:eastAsia="Arial" w:hAnsi="Arial"/>
                <w:sz w:val="17"/>
                <w:szCs w:val="17"/>
              </w:rPr>
              <w:t xml:space="preserve">Approve user registration &amp; authentication with backend AI provider proxy</w:t>
            </w:r>
          </w:p>
        </w:tc>
        <w:tc>
          <w:tcPr>
            <w:tcW w:type="dxa" w:w="2000"/>
            <w:tcBorders>
              <w:top w:val="single" w:color="C5D8EC" w:sz="4"/>
              <w:left w:val="single" w:color="C5D8EC" w:sz="4"/>
              <w:bottom w:val="single" w:color="C5D8EC" w:sz="4"/>
              <w:right w:val="single" w:color="C5D8EC" w:sz="4"/>
            </w:tcBorders>
            <w:shd w:fill="E8F3FC" w:val="clear"/>
            <w:tcMar>
              <w:top w:type="dxa" w:w="75"/>
              <w:left w:type="dxa" w:w="110"/>
              <w:bottom w:type="dxa" w:w="75"/>
              <w:right w:type="dxa" w:w="110"/>
            </w:tcMar>
          </w:tcPr>
          <w:p>
            <w:r>
              <w:rPr>
                <w:rFonts w:ascii="Arial" w:cs="Arial" w:eastAsia="Arial" w:hAnsi="Arial"/>
                <w:sz w:val="17"/>
                <w:szCs w:val="17"/>
              </w:rPr>
              <w:t xml:space="preserve">CTO / Eng. Lead</w:t>
            </w:r>
          </w:p>
        </w:tc>
      </w:tr>
      <w:tr>
        <w:tc>
          <w:tcPr>
            <w:tcW w:type="dxa" w:w="1480"/>
            <w:tcBorders>
              <w:top w:val="single" w:color="C5D8EC" w:sz="4"/>
              <w:left w:val="single" w:color="C5D8EC" w:sz="4"/>
              <w:bottom w:val="single" w:color="C5D8EC" w:sz="4"/>
              <w:right w:val="single" w:color="C5D8EC" w:sz="4"/>
            </w:tcBorders>
            <w:shd w:fill="FFFFFF" w:val="clear"/>
            <w:tcMar>
              <w:top w:type="dxa" w:w="75"/>
              <w:left w:type="dxa" w:w="110"/>
              <w:bottom w:type="dxa" w:w="75"/>
              <w:right w:type="dxa" w:w="110"/>
            </w:tcMar>
          </w:tcPr>
          <w:p>
            <w:r>
              <w:rPr>
                <w:rFonts w:ascii="Arial" w:cs="Arial" w:eastAsia="Arial" w:hAnsi="Arial"/>
                <w:b/>
                <w:bCs/>
                <w:color w:val="1A3A5C"/>
                <w:sz w:val="17"/>
                <w:szCs w:val="17"/>
              </w:rPr>
              <w:t xml:space="preserve">P1 — Now</w:t>
            </w:r>
          </w:p>
        </w:tc>
        <w:tc>
          <w:tcPr>
            <w:tcW w:type="dxa" w:w="5880"/>
            <w:tcBorders>
              <w:top w:val="single" w:color="C5D8EC" w:sz="4"/>
              <w:left w:val="single" w:color="C5D8EC" w:sz="4"/>
              <w:bottom w:val="single" w:color="C5D8EC" w:sz="4"/>
              <w:right w:val="single" w:color="C5D8EC" w:sz="4"/>
            </w:tcBorders>
            <w:shd w:fill="FFFFFF" w:val="clear"/>
            <w:tcMar>
              <w:top w:type="dxa" w:w="75"/>
              <w:left w:type="dxa" w:w="110"/>
              <w:bottom w:type="dxa" w:w="75"/>
              <w:right w:type="dxa" w:w="110"/>
            </w:tcMar>
          </w:tcPr>
          <w:p>
            <w:r>
              <w:rPr>
                <w:rFonts w:ascii="Arial" w:cs="Arial" w:eastAsia="Arial" w:hAnsi="Arial"/>
                <w:sz w:val="17"/>
                <w:szCs w:val="17"/>
              </w:rPr>
              <w:t xml:space="preserve">Ratify the four Core Tenet groups as the platform’s governing design principles</w:t>
            </w:r>
          </w:p>
        </w:tc>
        <w:tc>
          <w:tcPr>
            <w:tcW w:type="dxa" w:w="2000"/>
            <w:tcBorders>
              <w:top w:val="single" w:color="C5D8EC" w:sz="4"/>
              <w:left w:val="single" w:color="C5D8EC" w:sz="4"/>
              <w:bottom w:val="single" w:color="C5D8EC" w:sz="4"/>
              <w:right w:val="single" w:color="C5D8EC" w:sz="4"/>
            </w:tcBorders>
            <w:shd w:fill="FFFFFF" w:val="clear"/>
            <w:tcMar>
              <w:top w:type="dxa" w:w="75"/>
              <w:left w:type="dxa" w:w="110"/>
              <w:bottom w:type="dxa" w:w="75"/>
              <w:right w:type="dxa" w:w="110"/>
            </w:tcMar>
          </w:tcPr>
          <w:p>
            <w:r>
              <w:rPr>
                <w:rFonts w:ascii="Arial" w:cs="Arial" w:eastAsia="Arial" w:hAnsi="Arial"/>
                <w:sz w:val="17"/>
                <w:szCs w:val="17"/>
              </w:rPr>
              <w:t xml:space="preserve">CIO / Data Strategy</w:t>
            </w:r>
          </w:p>
        </w:tc>
      </w:tr>
      <w:tr>
        <w:tc>
          <w:tcPr>
            <w:tcW w:type="dxa" w:w="1480"/>
            <w:tcBorders>
              <w:top w:val="single" w:color="C5D8EC" w:sz="4"/>
              <w:left w:val="single" w:color="C5D8EC" w:sz="4"/>
              <w:bottom w:val="single" w:color="C5D8EC" w:sz="4"/>
              <w:right w:val="single" w:color="C5D8EC" w:sz="4"/>
            </w:tcBorders>
            <w:shd w:fill="E8F3FC" w:val="clear"/>
            <w:tcMar>
              <w:top w:type="dxa" w:w="75"/>
              <w:left w:type="dxa" w:w="110"/>
              <w:bottom w:type="dxa" w:w="75"/>
              <w:right w:type="dxa" w:w="110"/>
            </w:tcMar>
          </w:tcPr>
          <w:p>
            <w:r>
              <w:rPr>
                <w:rFonts w:ascii="Arial" w:cs="Arial" w:eastAsia="Arial" w:hAnsi="Arial"/>
                <w:b/>
                <w:bCs/>
                <w:color w:val="1A3A5C"/>
                <w:sz w:val="17"/>
                <w:szCs w:val="17"/>
              </w:rPr>
              <w:t xml:space="preserve">P2 — 30 Days</w:t>
            </w:r>
          </w:p>
        </w:tc>
        <w:tc>
          <w:tcPr>
            <w:tcW w:type="dxa" w:w="5880"/>
            <w:tcBorders>
              <w:top w:val="single" w:color="C5D8EC" w:sz="4"/>
              <w:left w:val="single" w:color="C5D8EC" w:sz="4"/>
              <w:bottom w:val="single" w:color="C5D8EC" w:sz="4"/>
              <w:right w:val="single" w:color="C5D8EC" w:sz="4"/>
            </w:tcBorders>
            <w:shd w:fill="E8F3FC" w:val="clear"/>
            <w:tcMar>
              <w:top w:type="dxa" w:w="75"/>
              <w:left w:type="dxa" w:w="110"/>
              <w:bottom w:type="dxa" w:w="75"/>
              <w:right w:type="dxa" w:w="110"/>
            </w:tcMar>
          </w:tcPr>
          <w:p>
            <w:r>
              <w:rPr>
                <w:rFonts w:ascii="Arial" w:cs="Arial" w:eastAsia="Arial" w:hAnsi="Arial"/>
                <w:sz w:val="17"/>
                <w:szCs w:val="17"/>
              </w:rPr>
              <w:t xml:space="preserve">Define Tier-1 action thresholds for human-in-the-loop governance enforcement</w:t>
            </w:r>
          </w:p>
        </w:tc>
        <w:tc>
          <w:tcPr>
            <w:tcW w:type="dxa" w:w="2000"/>
            <w:tcBorders>
              <w:top w:val="single" w:color="C5D8EC" w:sz="4"/>
              <w:left w:val="single" w:color="C5D8EC" w:sz="4"/>
              <w:bottom w:val="single" w:color="C5D8EC" w:sz="4"/>
              <w:right w:val="single" w:color="C5D8EC" w:sz="4"/>
            </w:tcBorders>
            <w:shd w:fill="E8F3FC" w:val="clear"/>
            <w:tcMar>
              <w:top w:type="dxa" w:w="75"/>
              <w:left w:type="dxa" w:w="110"/>
              <w:bottom w:type="dxa" w:w="75"/>
              <w:right w:type="dxa" w:w="110"/>
            </w:tcMar>
          </w:tcPr>
          <w:p>
            <w:r>
              <w:rPr>
                <w:rFonts w:ascii="Arial" w:cs="Arial" w:eastAsia="Arial" w:hAnsi="Arial"/>
                <w:sz w:val="17"/>
                <w:szCs w:val="17"/>
              </w:rPr>
              <w:t xml:space="preserve">CIO / Governance</w:t>
            </w:r>
          </w:p>
        </w:tc>
      </w:tr>
      <w:tr>
        <w:tc>
          <w:tcPr>
            <w:tcW w:type="dxa" w:w="1480"/>
            <w:tcBorders>
              <w:top w:val="single" w:color="C5D8EC" w:sz="4"/>
              <w:left w:val="single" w:color="C5D8EC" w:sz="4"/>
              <w:bottom w:val="single" w:color="C5D8EC" w:sz="4"/>
              <w:right w:val="single" w:color="C5D8EC" w:sz="4"/>
            </w:tcBorders>
            <w:shd w:fill="FFFFFF" w:val="clear"/>
            <w:tcMar>
              <w:top w:type="dxa" w:w="75"/>
              <w:left w:type="dxa" w:w="110"/>
              <w:bottom w:type="dxa" w:w="75"/>
              <w:right w:type="dxa" w:w="110"/>
            </w:tcMar>
          </w:tcPr>
          <w:p>
            <w:r>
              <w:rPr>
                <w:rFonts w:ascii="Arial" w:cs="Arial" w:eastAsia="Arial" w:hAnsi="Arial"/>
                <w:b/>
                <w:bCs/>
                <w:color w:val="1A3A5C"/>
                <w:sz w:val="17"/>
                <w:szCs w:val="17"/>
              </w:rPr>
              <w:t xml:space="preserve">P2 — 30 Days</w:t>
            </w:r>
          </w:p>
        </w:tc>
        <w:tc>
          <w:tcPr>
            <w:tcW w:type="dxa" w:w="5880"/>
            <w:tcBorders>
              <w:top w:val="single" w:color="C5D8EC" w:sz="4"/>
              <w:left w:val="single" w:color="C5D8EC" w:sz="4"/>
              <w:bottom w:val="single" w:color="C5D8EC" w:sz="4"/>
              <w:right w:val="single" w:color="C5D8EC" w:sz="4"/>
            </w:tcBorders>
            <w:shd w:fill="FFFFFF" w:val="clear"/>
            <w:tcMar>
              <w:top w:type="dxa" w:w="75"/>
              <w:left w:type="dxa" w:w="110"/>
              <w:bottom w:type="dxa" w:w="75"/>
              <w:right w:type="dxa" w:w="110"/>
            </w:tcMar>
          </w:tcPr>
          <w:p>
            <w:r>
              <w:rPr>
                <w:rFonts w:ascii="Arial" w:cs="Arial" w:eastAsia="Arial" w:hAnsi="Arial"/>
                <w:sz w:val="17"/>
                <w:szCs w:val="17"/>
              </w:rPr>
              <w:t xml:space="preserve">Conduct vendor dependency audit; document substitution paths for all Tier-1 integrations</w:t>
            </w:r>
          </w:p>
        </w:tc>
        <w:tc>
          <w:tcPr>
            <w:tcW w:type="dxa" w:w="2000"/>
            <w:tcBorders>
              <w:top w:val="single" w:color="C5D8EC" w:sz="4"/>
              <w:left w:val="single" w:color="C5D8EC" w:sz="4"/>
              <w:bottom w:val="single" w:color="C5D8EC" w:sz="4"/>
              <w:right w:val="single" w:color="C5D8EC" w:sz="4"/>
            </w:tcBorders>
            <w:shd w:fill="FFFFFF" w:val="clear"/>
            <w:tcMar>
              <w:top w:type="dxa" w:w="75"/>
              <w:left w:type="dxa" w:w="110"/>
              <w:bottom w:type="dxa" w:w="75"/>
              <w:right w:type="dxa" w:w="110"/>
            </w:tcMar>
          </w:tcPr>
          <w:p>
            <w:r>
              <w:rPr>
                <w:rFonts w:ascii="Arial" w:cs="Arial" w:eastAsia="Arial" w:hAnsi="Arial"/>
                <w:sz w:val="17"/>
                <w:szCs w:val="17"/>
              </w:rPr>
              <w:t xml:space="preserve">CTO / Architecture</w:t>
            </w:r>
          </w:p>
        </w:tc>
      </w:tr>
      <w:tr>
        <w:tc>
          <w:tcPr>
            <w:tcW w:type="dxa" w:w="1480"/>
            <w:tcBorders>
              <w:top w:val="single" w:color="C5D8EC" w:sz="4"/>
              <w:left w:val="single" w:color="C5D8EC" w:sz="4"/>
              <w:bottom w:val="single" w:color="C5D8EC" w:sz="4"/>
              <w:right w:val="single" w:color="C5D8EC" w:sz="4"/>
            </w:tcBorders>
            <w:shd w:fill="E8F3FC" w:val="clear"/>
            <w:tcMar>
              <w:top w:type="dxa" w:w="75"/>
              <w:left w:type="dxa" w:w="110"/>
              <w:bottom w:type="dxa" w:w="75"/>
              <w:right w:type="dxa" w:w="110"/>
            </w:tcMar>
          </w:tcPr>
          <w:p>
            <w:r>
              <w:rPr>
                <w:rFonts w:ascii="Arial" w:cs="Arial" w:eastAsia="Arial" w:hAnsi="Arial"/>
                <w:b/>
                <w:bCs/>
                <w:color w:val="1A3A5C"/>
                <w:sz w:val="17"/>
                <w:szCs w:val="17"/>
              </w:rPr>
              <w:t xml:space="preserve">P3 — 60 Days</w:t>
            </w:r>
          </w:p>
        </w:tc>
        <w:tc>
          <w:tcPr>
            <w:tcW w:type="dxa" w:w="5880"/>
            <w:tcBorders>
              <w:top w:val="single" w:color="C5D8EC" w:sz="4"/>
              <w:left w:val="single" w:color="C5D8EC" w:sz="4"/>
              <w:bottom w:val="single" w:color="C5D8EC" w:sz="4"/>
              <w:right w:val="single" w:color="C5D8EC" w:sz="4"/>
            </w:tcBorders>
            <w:shd w:fill="E8F3FC" w:val="clear"/>
            <w:tcMar>
              <w:top w:type="dxa" w:w="75"/>
              <w:left w:type="dxa" w:w="110"/>
              <w:bottom w:type="dxa" w:w="75"/>
              <w:right w:type="dxa" w:w="110"/>
            </w:tcMar>
          </w:tcPr>
          <w:p>
            <w:r>
              <w:rPr>
                <w:rFonts w:ascii="Arial" w:cs="Arial" w:eastAsia="Arial" w:hAnsi="Arial"/>
                <w:sz w:val="17"/>
                <w:szCs w:val="17"/>
              </w:rPr>
              <w:t xml:space="preserve">Launch structured onboarding programme for engineering, platform, and domain teams</w:t>
            </w:r>
          </w:p>
        </w:tc>
        <w:tc>
          <w:tcPr>
            <w:tcW w:type="dxa" w:w="2000"/>
            <w:tcBorders>
              <w:top w:val="single" w:color="C5D8EC" w:sz="4"/>
              <w:left w:val="single" w:color="C5D8EC" w:sz="4"/>
              <w:bottom w:val="single" w:color="C5D8EC" w:sz="4"/>
              <w:right w:val="single" w:color="C5D8EC" w:sz="4"/>
            </w:tcBorders>
            <w:shd w:fill="E8F3FC" w:val="clear"/>
            <w:tcMar>
              <w:top w:type="dxa" w:w="75"/>
              <w:left w:type="dxa" w:w="110"/>
              <w:bottom w:type="dxa" w:w="75"/>
              <w:right w:type="dxa" w:w="110"/>
            </w:tcMar>
          </w:tcPr>
          <w:p>
            <w:r>
              <w:rPr>
                <w:rFonts w:ascii="Arial" w:cs="Arial" w:eastAsia="Arial" w:hAnsi="Arial"/>
                <w:sz w:val="17"/>
                <w:szCs w:val="17"/>
              </w:rPr>
              <w:t xml:space="preserve">CIO / Transformation</w:t>
            </w:r>
          </w:p>
        </w:tc>
      </w:tr>
    </w:tbl>
    <w:p>
      <w:pPr>
        <w:spacing w:before="0" w:after="110"/>
      </w:pPr>
    </w:p>
    <w:p>
      <w:pPr>
        <w:spacing w:before="0" w:after="0"/>
      </w:pPr>
      <w:r>
        <w:rPr>
          <w:rFonts w:ascii="Arial" w:cs="Arial" w:eastAsia="Arial" w:hAnsi="Arial"/>
          <w:i/>
          <w:iCs/>
          <w:color w:val="999999"/>
          <w:sz w:val="15"/>
          <w:szCs w:val="15"/>
        </w:rPr>
        <w:t xml:space="preserve">This document is prepared for executive review and decision-making. It does not constitute a final architecture specification, vendor commitment, or investment obligation.</w:t>
      </w:r>
    </w:p>
    <w:sectPr>
      <w:headerReference w:type="default" r:id="rId6"/>
      <w:footerReference w:type="default" r:id="rId7"/>
      <w:pgSz w:w="12240" w:h="15840" w:orient="portrait"/>
      <w:pgMar w:top="950" w:right="1080" w:bottom="95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888888"/>
        <w:sz w:val="15"/>
        <w:szCs w:val="15"/>
      </w:rPr>
      <w:t xml:space="preserve">AI-Native Agentic Data Strategy  |  CIO/CTO Executive Brief  |  March 2026</w:t>
    </w:r>
    <w:r>
      <w:rPr>
        <w:rFonts w:ascii="Arial" w:cs="Arial" w:eastAsia="Arial" w:hAnsi="Arial"/>
        <w:color w:val="888888"/>
        <w:sz w:val="15"/>
        <w:szCs w:val="15"/>
      </w:rPr>
      <w:t xml:space="preserve">	Page </w:t>
    </w:r>
    <w:r>
      <w:rPr>
        <w:rFonts w:ascii="Arial" w:cs="Arial" w:eastAsia="Arial" w:hAnsi="Arial"/>
        <w:color w:val="888888"/>
        <w:sz w:val="15"/>
        <w:szCs w:val="15"/>
      </w:rPr>
      <w:fldChar w:fldCharType="begin"/>
      <w:instrText xml:space="preserve">PAGE</w:instrText>
      <w:fldChar w:fldCharType="separate"/>
      <w:fldChar w:fldCharType="end"/>
    </w:r>
    <w:r>
      <w:rPr>
        <w:rFonts w:ascii="Arial" w:cs="Arial" w:eastAsia="Arial" w:hAnsi="Arial"/>
        <w:color w:val="888888"/>
        <w:sz w:val="15"/>
        <w:szCs w:val="15"/>
      </w:rPr>
      <w:t xml:space="preserve"> of </w:t>
    </w:r>
    <w:r>
      <w:rPr>
        <w:rFonts w:ascii="Arial" w:cs="Arial" w:eastAsia="Arial" w:hAnsi="Arial"/>
        <w:color w:val="88888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888888"/>
        <w:sz w:val="15"/>
        <w:szCs w:val="15"/>
      </w:rPr>
      <w:t xml:space="preserve">AgenticDT — AI-Native Agentic Data Platform</w:t>
    </w:r>
    <w:r>
      <w:rPr>
        <w:rFonts w:ascii="Arial" w:cs="Arial" w:eastAsia="Arial" w:hAnsi="Arial"/>
        <w:sz w:val="15"/>
        <w:szCs w:val="15"/>
      </w:rPr>
      <w:t xml:space="preserve">	</w:t>
    </w:r>
    <w:r>
      <w:rPr>
        <w:rFonts w:ascii="Arial" w:cs="Arial" w:eastAsia="Arial" w:hAnsi="Arial"/>
        <w:b/>
        <w:bCs/>
        <w:color w:val="C00000"/>
        <w:sz w:val="15"/>
        <w:szCs w:val="15"/>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2026-03-09T22:18:25.869Z</dcterms:created>
  <dcterms:modified xsi:type="dcterms:W3CDTF">2026-03-09T22:18:25.869Z</dcterms:modified>
</cp:coreProperties>
</file>

<file path=docProps/custom.xml><?xml version="1.0" encoding="utf-8"?>
<Properties xmlns="http://schemas.openxmlformats.org/officeDocument/2006/custom-properties" xmlns:vt="http://schemas.openxmlformats.org/officeDocument/2006/docPropsVTypes"/>
</file>