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pPr>
      <w:r>
        <w:rPr>
          <w:rFonts w:ascii="Arial" w:cs="Arial" w:eastAsia="Arial" w:hAnsi="Arial"/>
          <w:b/>
          <w:bCs/>
          <w:color w:val="1A3A5C"/>
          <w:sz w:val="50"/>
          <w:szCs w:val="50"/>
        </w:rPr>
        <w:t xml:space="preserve">AI-Native Agentic Data Platform</w:t>
      </w:r>
    </w:p>
    <w:p>
      <w:pPr>
        <w:spacing w:before="0" w:after="45"/>
      </w:pPr>
      <w:r>
        <w:rPr>
          <w:rFonts w:ascii="Arial" w:cs="Arial" w:eastAsia="Arial" w:hAnsi="Arial"/>
          <w:color w:val="0D5FAA"/>
          <w:sz w:val="27"/>
          <w:szCs w:val="27"/>
        </w:rPr>
        <w:t xml:space="preserve">Executive Strategy Brief</w:t>
      </w:r>
    </w:p>
    <w:p>
      <w:pPr>
        <w:pBdr>
          <w:bottom w:val="single" w:color="0D5FAA" w:sz="14" w:space="5"/>
        </w:pBdr>
        <w:spacing w:before="0" w:after="190"/>
      </w:pPr>
      <w:r>
        <w:rPr>
          <w:rFonts w:ascii="Arial" w:cs="Arial" w:eastAsia="Arial" w:hAnsi="Arial"/>
          <w:color w:val="666666"/>
          <w:sz w:val="17"/>
          <w:szCs w:val="17"/>
        </w:rPr>
        <w:t xml:space="preserve">Prepared for CIO &amp; CTO Leadership   |   March 2026   |   Version 4.0</w:t>
      </w:r>
    </w:p>
    <w:p>
      <w:pPr>
        <w:pBdr>
          <w:bottom w:val="single" w:color="0D5FAA" w:sz="10" w:space="5"/>
        </w:pBdr>
        <w:spacing w:before="220" w:after="80"/>
      </w:pPr>
      <w:r>
        <w:rPr>
          <w:rFonts w:ascii="Arial" w:cs="Arial" w:eastAsia="Arial" w:hAnsi="Arial"/>
          <w:b/>
          <w:bCs/>
          <w:color w:val="1A3A5C"/>
          <w:sz w:val="27"/>
          <w:szCs w:val="27"/>
        </w:rPr>
        <w:t xml:space="preserve">1.   Strategic Vision</w:t>
      </w:r>
    </w:p>
    <w:p>
      <w:pPr>
        <w:spacing w:before="85" w:after="55"/>
      </w:pPr>
      <w:r>
        <w:rPr>
          <w:rFonts w:ascii="Arial" w:cs="Arial" w:eastAsia="Arial" w:hAnsi="Arial"/>
          <w:sz w:val="19"/>
          <w:szCs w:val="19"/>
        </w:rPr>
        <w:t xml:space="preserve">Our current data estate is a series of static tools, manual configurations, and human-gated handoffs that create a ‘Data Liquidity Trap’ — information exists but cannot be accessed, trusted, or acted upon at the speed the business demands. Every delayed pipeline, every manual audit, every undocumented schema is a friction point that compounds into lost competitive advantage.</w:t>
      </w:r>
    </w:p>
    <w:p>
      <w:pPr>
        <w:spacing w:before="45" w:after="60"/>
      </w:pPr>
      <w:r>
        <w:rPr>
          <w:rFonts w:ascii="Arial" w:cs="Arial" w:eastAsia="Arial" w:hAnsi="Arial"/>
          <w:sz w:val="19"/>
          <w:szCs w:val="19"/>
        </w:rPr>
        <w:t xml:space="preserve">By moving to an Agentic Platform, we replace those human gates with autonomous guardrails. AgenticDT is our strategic response: a purpose-built, AI-native data operating system that self-regulates, self-heals, and delivers insights at the speed of a digital-native competitor. This is not a platform upgrade — it is a fundamental shift in how the organisation relates to its data.</w:t>
      </w:r>
    </w:p>
    <w:p>
      <w:pPr>
        <w:spacing w:before="140" w:after="45"/>
      </w:pPr>
      <w:r>
        <w:rPr>
          <w:rFonts w:ascii="Arial" w:cs="Arial" w:eastAsia="Arial" w:hAnsi="Arial"/>
          <w:b/>
          <w:bCs/>
          <w:color w:val="0E7490"/>
          <w:sz w:val="20"/>
          <w:szCs w:val="20"/>
        </w:rPr>
        <w:t xml:space="preserve">Business Reason and Need</w:t>
      </w:r>
    </w:p>
    <w:p>
      <w:pPr>
        <w:spacing w:before="45" w:after="60"/>
      </w:pPr>
      <w:r>
        <w:rPr>
          <w:rFonts w:ascii="Arial" w:cs="Arial" w:eastAsia="Arial" w:hAnsi="Arial"/>
          <w:sz w:val="19"/>
          <w:szCs w:val="19"/>
        </w:rPr>
        <w:t xml:space="preserve">AgenticDT directly addresses the three sources of data friction that constrain technology leadership today:</w:t>
      </w:r>
    </w:p>
    <w:p>
      <w:pPr>
        <w:pStyle w:val="ListParagraph"/>
        <w:numPr>
          <w:ilvl w:val="0"/>
          <w:numId w:val="2"/>
        </w:numPr>
        <w:spacing w:before="35" w:after="35"/>
      </w:pPr>
      <w:r>
        <w:rPr>
          <w:rFonts w:ascii="Arial" w:cs="Arial" w:eastAsia="Arial" w:hAnsi="Arial"/>
          <w:b/>
          <w:bCs/>
          <w:color w:val="1A3A5C"/>
          <w:sz w:val="19"/>
          <w:szCs w:val="19"/>
        </w:rPr>
        <w:t xml:space="preserve">Speed to Value: </w:t>
      </w:r>
      <w:r>
        <w:rPr>
          <w:rFonts w:ascii="Arial" w:cs="Arial" w:eastAsia="Arial" w:hAnsi="Arial"/>
          <w:sz w:val="19"/>
          <w:szCs w:val="19"/>
        </w:rPr>
        <w:t xml:space="preserve">AI agents automate ingestion, cataloguing, quality remediation, and publishing — compressing time-to-insight from weeks to hours and eliminating the ‘Request-to-Build’ bottleneck.</w:t>
      </w:r>
    </w:p>
    <w:p>
      <w:pPr>
        <w:pStyle w:val="ListParagraph"/>
        <w:numPr>
          <w:ilvl w:val="0"/>
          <w:numId w:val="2"/>
        </w:numPr>
        <w:spacing w:before="35" w:after="35"/>
      </w:pPr>
      <w:r>
        <w:rPr>
          <w:rFonts w:ascii="Arial" w:cs="Arial" w:eastAsia="Arial" w:hAnsi="Arial"/>
          <w:b/>
          <w:bCs/>
          <w:color w:val="1A3A5C"/>
          <w:sz w:val="19"/>
          <w:szCs w:val="19"/>
        </w:rPr>
        <w:t xml:space="preserve">Trust at Scale: </w:t>
      </w:r>
      <w:r>
        <w:rPr>
          <w:rFonts w:ascii="Arial" w:cs="Arial" w:eastAsia="Arial" w:hAnsi="Arial"/>
          <w:sz w:val="19"/>
          <w:szCs w:val="19"/>
        </w:rPr>
        <w:t xml:space="preserve">Standards are enforced continuously, every transformation is traced, and compliance policy is applied at the moment of ingestion — turning a 3-week audit cycle into a 3-second automated gate.</w:t>
      </w:r>
    </w:p>
    <w:p>
      <w:pPr>
        <w:pStyle w:val="ListParagraph"/>
        <w:numPr>
          <w:ilvl w:val="0"/>
          <w:numId w:val="2"/>
        </w:numPr>
        <w:spacing w:before="35" w:after="35"/>
      </w:pPr>
      <w:r>
        <w:rPr>
          <w:rFonts w:ascii="Arial" w:cs="Arial" w:eastAsia="Arial" w:hAnsi="Arial"/>
          <w:b/>
          <w:bCs/>
          <w:color w:val="1A3A5C"/>
          <w:sz w:val="19"/>
          <w:szCs w:val="19"/>
        </w:rPr>
        <w:t xml:space="preserve">Platform Agility: </w:t>
      </w:r>
      <w:r>
        <w:rPr>
          <w:rFonts w:ascii="Arial" w:cs="Arial" w:eastAsia="Arial" w:hAnsi="Arial"/>
          <w:sz w:val="19"/>
          <w:szCs w:val="19"/>
        </w:rPr>
        <w:t xml:space="preserve">Model-agnostic, vendor-neutral, and extensible by design — enabling best-of-breed adoption and new entity integration in days, not months.</w:t>
      </w:r>
    </w:p>
    <w:p>
      <w:pPr>
        <w:pBdr>
          <w:bottom w:val="single" w:color="0D5FAA" w:sz="10" w:space="5"/>
        </w:pBdr>
        <w:spacing w:before="220" w:after="80"/>
      </w:pPr>
      <w:r>
        <w:rPr>
          <w:rFonts w:ascii="Arial" w:cs="Arial" w:eastAsia="Arial" w:hAnsi="Arial"/>
          <w:b/>
          <w:bCs/>
          <w:color w:val="1A3A5C"/>
          <w:sz w:val="27"/>
          <w:szCs w:val="27"/>
        </w:rPr>
        <w:t xml:space="preserve">2.   Core Tenets</w:t>
      </w:r>
    </w:p>
    <w:p>
      <w:pPr>
        <w:spacing w:before="85" w:after="100"/>
      </w:pPr>
      <w:r>
        <w:rPr>
          <w:rFonts w:ascii="Arial" w:cs="Arial" w:eastAsia="Arial" w:hAnsi="Arial"/>
          <w:sz w:val="19"/>
          <w:szCs w:val="19"/>
        </w:rPr>
        <w:t xml:space="preserve">The platform’s design is governed by four strategic tenet groups. These are non-negotiable architectural constraints — not aspirational targets. Each is grounded in a concrete anti-friction business outcome.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80"/>
            <w:tcBorders>
              <w:top w:val="single" w:color="C5D8EC" w:sz="4"/>
              <w:left w:val="single" w:color="C5D8EC" w:sz="4"/>
              <w:bottom w:val="single" w:color="C5D8EC" w:sz="4"/>
              <w:right w:val="single" w:color="C5D8EC" w:sz="4"/>
            </w:tcBorders>
            <w:shd w:fill="E8F3FC" w:val="clear"/>
            <w:tcMar>
              <w:top w:type="dxa" w:w="110"/>
              <w:left w:type="dxa" w:w="140"/>
              <w:bottom w:type="dxa" w:w="110"/>
              <w:right w:type="dxa" w:w="140"/>
            </w:tcMar>
          </w:tcPr>
          <w:p>
            <w:pPr>
              <w:spacing w:before="0" w:after="50"/>
            </w:pPr>
            <w:r>
              <w:rPr>
                <w:rFonts w:ascii="Arial" w:cs="Arial" w:eastAsia="Arial" w:hAnsi="Arial"/>
                <w:b/>
                <w:bCs/>
                <w:color w:val="0D5FAA"/>
                <w:sz w:val="20"/>
                <w:szCs w:val="20"/>
              </w:rPr>
              <w:t xml:space="preserve">①  </w:t>
            </w:r>
            <w:r>
              <w:rPr>
                <w:rFonts w:ascii="Arial" w:cs="Arial" w:eastAsia="Arial" w:hAnsi="Arial"/>
                <w:b/>
                <w:bCs/>
                <w:color w:val="1A3A5C"/>
                <w:sz w:val="18"/>
                <w:szCs w:val="18"/>
              </w:rPr>
              <w:t xml:space="preserve">Intelligent Interfaces &amp; Discovery</w:t>
            </w:r>
          </w:p>
          <w:p>
            <w:pPr>
              <w:pStyle w:val="ListParagraph"/>
              <w:numPr>
                <w:ilvl w:val="0"/>
                <w:numId w:val="2"/>
              </w:numPr>
              <w:spacing w:before="22" w:after="22"/>
            </w:pPr>
            <w:r>
              <w:rPr>
                <w:rFonts w:ascii="Arial" w:cs="Arial" w:eastAsia="Arial" w:hAnsi="Arial"/>
                <w:sz w:val="17"/>
                <w:szCs w:val="17"/>
              </w:rPr>
              <w:t xml:space="preserve">Every persona — executive, analyst, engineer — queries the platform in plain language. SQL and code are implementation details, not user requirements. The interface adapts to the human, not the reverse.</w:t>
            </w:r>
          </w:p>
          <w:p>
            <w:pPr>
              <w:pStyle w:val="ListParagraph"/>
              <w:numPr>
                <w:ilvl w:val="0"/>
                <w:numId w:val="2"/>
              </w:numPr>
              <w:spacing w:before="22" w:after="22"/>
            </w:pPr>
            <w:r>
              <w:rPr>
                <w:rFonts w:ascii="Arial" w:cs="Arial" w:eastAsia="Arial" w:hAnsi="Arial"/>
                <w:sz w:val="17"/>
                <w:szCs w:val="17"/>
              </w:rPr>
              <w:t xml:space="preserve">All data carries its business meaning from the point of arrival. Context, structure, and semantics are resolved at ingestion so downstream consumers inherit understanding, not raw bytes.</w:t>
            </w:r>
          </w:p>
          <w:p>
            <w:pPr>
              <w:pStyle w:val="ListParagraph"/>
              <w:numPr>
                <w:ilvl w:val="0"/>
                <w:numId w:val="2"/>
              </w:numPr>
              <w:spacing w:before="22" w:after="22"/>
            </w:pPr>
            <w:r>
              <w:rPr>
                <w:rFonts w:ascii="Arial" w:cs="Arial" w:eastAsia="Arial" w:hAnsi="Arial"/>
                <w:sz w:val="17"/>
                <w:szCs w:val="17"/>
              </w:rPr>
              <w:t xml:space="preserve">The 80% of enterprise data that is unstructured — documents, recordings, emails, communications — is a fully addressable, first-class asset. It is no longer peripheral to analytics; it is central to it.</w:t>
            </w:r>
          </w:p>
        </w:tc>
        <w:tc>
          <w:tcPr>
            <w:tcW w:type="dxa" w:w="4680"/>
            <w:tcBorders>
              <w:top w:val="single" w:color="C5D8EC" w:sz="4"/>
              <w:left w:val="single" w:color="C5D8EC" w:sz="4"/>
              <w:bottom w:val="single" w:color="C5D8EC" w:sz="4"/>
              <w:right w:val="single" w:color="C5D8EC" w:sz="4"/>
            </w:tcBorders>
            <w:shd w:fill="EAF7F1" w:val="clear"/>
            <w:tcMar>
              <w:top w:type="dxa" w:w="110"/>
              <w:left w:type="dxa" w:w="140"/>
              <w:bottom w:type="dxa" w:w="110"/>
              <w:right w:type="dxa" w:w="140"/>
            </w:tcMar>
          </w:tcPr>
          <w:p>
            <w:pPr>
              <w:spacing w:before="0" w:after="50"/>
            </w:pPr>
            <w:r>
              <w:rPr>
                <w:rFonts w:ascii="Arial" w:cs="Arial" w:eastAsia="Arial" w:hAnsi="Arial"/>
                <w:b/>
                <w:bCs/>
                <w:color w:val="0D5FAA"/>
                <w:sz w:val="20"/>
                <w:szCs w:val="20"/>
              </w:rPr>
              <w:t xml:space="preserve">②  </w:t>
            </w:r>
            <w:r>
              <w:rPr>
                <w:rFonts w:ascii="Arial" w:cs="Arial" w:eastAsia="Arial" w:hAnsi="Arial"/>
                <w:b/>
                <w:bCs/>
                <w:color w:val="1A3A5C"/>
                <w:sz w:val="18"/>
                <w:szCs w:val="18"/>
              </w:rPr>
              <w:t xml:space="preserve">Trust, Governance &amp; Lineage</w:t>
            </w:r>
          </w:p>
          <w:p>
            <w:pPr>
              <w:pStyle w:val="ListParagraph"/>
              <w:numPr>
                <w:ilvl w:val="0"/>
                <w:numId w:val="2"/>
              </w:numPr>
              <w:spacing w:before="22" w:after="22"/>
            </w:pPr>
            <w:r>
              <w:rPr>
                <w:rFonts w:ascii="Arial" w:cs="Arial" w:eastAsia="Arial" w:hAnsi="Arial"/>
                <w:sz w:val="17"/>
                <w:szCs w:val="17"/>
              </w:rPr>
              <w:t xml:space="preserve">Compliance is a continuous, automated state, not a point-in-time audit event. Policy is applied at the landing zone so every data product is born compliant.</w:t>
            </w:r>
          </w:p>
          <w:p>
            <w:pPr>
              <w:pStyle w:val="ListParagraph"/>
              <w:numPr>
                <w:ilvl w:val="0"/>
                <w:numId w:val="2"/>
              </w:numPr>
              <w:spacing w:before="22" w:after="22"/>
            </w:pPr>
            <w:r>
              <w:rPr>
                <w:rFonts w:ascii="Arial" w:cs="Arial" w:eastAsia="Arial" w:hAnsi="Arial"/>
                <w:sz w:val="17"/>
                <w:szCs w:val="17"/>
              </w:rPr>
              <w:t xml:space="preserve">There is one authoritative version of every business metric. No team reconciles conflicting definitions or recalculates figures that should already be resolved.</w:t>
            </w:r>
          </w:p>
          <w:p>
            <w:pPr>
              <w:pStyle w:val="ListParagraph"/>
              <w:numPr>
                <w:ilvl w:val="0"/>
                <w:numId w:val="2"/>
              </w:numPr>
              <w:spacing w:before="22" w:after="22"/>
            </w:pPr>
            <w:r>
              <w:rPr>
                <w:rFonts w:ascii="Arial" w:cs="Arial" w:eastAsia="Arial" w:hAnsi="Arial"/>
                <w:sz w:val="17"/>
                <w:szCs w:val="17"/>
              </w:rPr>
              <w:t xml:space="preserve">Every transformation, publish event, and access decision creates an immutable chain of custody. Regulatory defensibility is a structural property of the platform — not a manual reporting exercise.</w:t>
            </w:r>
          </w:p>
          <w:p>
            <w:pPr>
              <w:pStyle w:val="ListParagraph"/>
              <w:numPr>
                <w:ilvl w:val="0"/>
                <w:numId w:val="2"/>
              </w:numPr>
              <w:spacing w:before="22" w:after="22"/>
            </w:pPr>
            <w:r>
              <w:rPr>
                <w:rFonts w:ascii="Arial" w:cs="Arial" w:eastAsia="Arial" w:hAnsi="Arial"/>
                <w:sz w:val="17"/>
                <w:szCs w:val="17"/>
              </w:rPr>
              <w:t xml:space="preserve">Ethics and bias are measurable, observable properties of data and models, monitored continuously from training set to production decision before harm can propagate.</w:t>
            </w:r>
          </w:p>
        </w:tc>
      </w:tr>
      <w:tr>
        <w:tc>
          <w:tcPr>
            <w:tcW w:type="dxa" w:w="4680"/>
            <w:tcBorders>
              <w:top w:val="single" w:color="C5D8EC" w:sz="4"/>
              <w:left w:val="single" w:color="C5D8EC" w:sz="4"/>
              <w:bottom w:val="single" w:color="C5D8EC" w:sz="4"/>
              <w:right w:val="single" w:color="C5D8EC" w:sz="4"/>
            </w:tcBorders>
            <w:shd w:fill="FEF8EC" w:val="clear"/>
            <w:tcMar>
              <w:top w:type="dxa" w:w="110"/>
              <w:left w:type="dxa" w:w="140"/>
              <w:bottom w:type="dxa" w:w="110"/>
              <w:right w:type="dxa" w:w="140"/>
            </w:tcMar>
          </w:tcPr>
          <w:p>
            <w:pPr>
              <w:spacing w:before="0" w:after="50"/>
            </w:pPr>
            <w:r>
              <w:rPr>
                <w:rFonts w:ascii="Arial" w:cs="Arial" w:eastAsia="Arial" w:hAnsi="Arial"/>
                <w:b/>
                <w:bCs/>
                <w:color w:val="0D5FAA"/>
                <w:sz w:val="20"/>
                <w:szCs w:val="20"/>
              </w:rPr>
              <w:t xml:space="preserve">③  </w:t>
            </w:r>
            <w:r>
              <w:rPr>
                <w:rFonts w:ascii="Arial" w:cs="Arial" w:eastAsia="Arial" w:hAnsi="Arial"/>
                <w:b/>
                <w:bCs/>
                <w:color w:val="1A3A5C"/>
                <w:sz w:val="18"/>
                <w:szCs w:val="18"/>
              </w:rPr>
              <w:t xml:space="preserve">Self-Healing &amp; Operational Excellence</w:t>
            </w:r>
          </w:p>
          <w:p>
            <w:pPr>
              <w:pStyle w:val="ListParagraph"/>
              <w:numPr>
                <w:ilvl w:val="0"/>
                <w:numId w:val="2"/>
              </w:numPr>
              <w:spacing w:before="22" w:after="22"/>
            </w:pPr>
            <w:r>
              <w:rPr>
                <w:rFonts w:ascii="Arial" w:cs="Arial" w:eastAsia="Arial" w:hAnsi="Arial"/>
                <w:sz w:val="17"/>
                <w:szCs w:val="17"/>
              </w:rPr>
              <w:t xml:space="preserve">Pipelines are self-correcting. Anomalies are detected, bridged, and resolved autonomously. Engineering escalation is the exception; continuous uninterrupted operation is the platform’s default state.</w:t>
            </w:r>
          </w:p>
          <w:p>
            <w:pPr>
              <w:pStyle w:val="ListParagraph"/>
              <w:numPr>
                <w:ilvl w:val="0"/>
                <w:numId w:val="2"/>
              </w:numPr>
              <w:spacing w:before="22" w:after="22"/>
            </w:pPr>
            <w:r>
              <w:rPr>
                <w:rFonts w:ascii="Arial" w:cs="Arial" w:eastAsia="Arial" w:hAnsi="Arial"/>
                <w:sz w:val="17"/>
                <w:szCs w:val="17"/>
              </w:rPr>
              <w:t xml:space="preserve">Quality compounds over time. Each remediation cycle teaches the system to anticipate failure patterns, shifting operations from reactive to predictive. The platform gets more resilient with every incident it resolves.</w:t>
            </w:r>
          </w:p>
          <w:p>
            <w:pPr>
              <w:pStyle w:val="ListParagraph"/>
              <w:numPr>
                <w:ilvl w:val="0"/>
                <w:numId w:val="2"/>
              </w:numPr>
              <w:spacing w:before="22" w:after="22"/>
            </w:pPr>
            <w:r>
              <w:rPr>
                <w:rFonts w:ascii="Arial" w:cs="Arial" w:eastAsia="Arial" w:hAnsi="Arial"/>
                <w:sz w:val="17"/>
                <w:szCs w:val="17"/>
              </w:rPr>
              <w:t xml:space="preserve">Operational cost is structurally decoupled from data volume. The platform scales without proportional growth in engineering headcount — more data does not mean more people.</w:t>
            </w:r>
          </w:p>
        </w:tc>
        <w:tc>
          <w:tcPr>
            <w:tcW w:type="dxa" w:w="4680"/>
            <w:tcBorders>
              <w:top w:val="single" w:color="C5D8EC" w:sz="4"/>
              <w:left w:val="single" w:color="C5D8EC" w:sz="4"/>
              <w:bottom w:val="single" w:color="C5D8EC" w:sz="4"/>
              <w:right w:val="single" w:color="C5D8EC" w:sz="4"/>
            </w:tcBorders>
            <w:shd w:fill="F3EFFE" w:val="clear"/>
            <w:tcMar>
              <w:top w:type="dxa" w:w="110"/>
              <w:left w:type="dxa" w:w="140"/>
              <w:bottom w:type="dxa" w:w="110"/>
              <w:right w:type="dxa" w:w="140"/>
            </w:tcMar>
          </w:tcPr>
          <w:p>
            <w:pPr>
              <w:spacing w:before="0" w:after="50"/>
            </w:pPr>
            <w:r>
              <w:rPr>
                <w:rFonts w:ascii="Arial" w:cs="Arial" w:eastAsia="Arial" w:hAnsi="Arial"/>
                <w:b/>
                <w:bCs/>
                <w:color w:val="0D5FAA"/>
                <w:sz w:val="20"/>
                <w:szCs w:val="20"/>
              </w:rPr>
              <w:t xml:space="preserve">④  </w:t>
            </w:r>
            <w:r>
              <w:rPr>
                <w:rFonts w:ascii="Arial" w:cs="Arial" w:eastAsia="Arial" w:hAnsi="Arial"/>
                <w:b/>
                <w:bCs/>
                <w:color w:val="1A3A5C"/>
                <w:sz w:val="18"/>
                <w:szCs w:val="18"/>
              </w:rPr>
              <w:t xml:space="preserve">Open, Extensible &amp; Model-Agnostic</w:t>
            </w:r>
          </w:p>
          <w:p>
            <w:pPr>
              <w:pStyle w:val="ListParagraph"/>
              <w:numPr>
                <w:ilvl w:val="0"/>
                <w:numId w:val="2"/>
              </w:numPr>
              <w:spacing w:before="22" w:after="22"/>
            </w:pPr>
            <w:r>
              <w:rPr>
                <w:rFonts w:ascii="Arial" w:cs="Arial" w:eastAsia="Arial" w:hAnsi="Arial"/>
                <w:sz w:val="17"/>
                <w:szCs w:val="17"/>
              </w:rPr>
              <w:t xml:space="preserve">No single vendor exceeds 30% of any critical capability. All Tier-1 integrations carry documented substitution paths, reviewed quarterly. Strategic optionality is a design constraint, not an afterthought.</w:t>
            </w:r>
          </w:p>
          <w:p>
            <w:pPr>
              <w:pStyle w:val="ListParagraph"/>
              <w:numPr>
                <w:ilvl w:val="0"/>
                <w:numId w:val="2"/>
              </w:numPr>
              <w:spacing w:before="22" w:after="22"/>
            </w:pPr>
            <w:r>
              <w:rPr>
                <w:rFonts w:ascii="Arial" w:cs="Arial" w:eastAsia="Arial" w:hAnsi="Arial"/>
                <w:sz w:val="17"/>
                <w:szCs w:val="17"/>
              </w:rPr>
              <w:t xml:space="preserve">New data sources, business entities, and LOBs are onboarded without platform re-architecture. The connector-first design means time-to-integration is measured in days — not quarters.</w:t>
            </w:r>
          </w:p>
          <w:p>
            <w:pPr>
              <w:pStyle w:val="ListParagraph"/>
              <w:numPr>
                <w:ilvl w:val="0"/>
                <w:numId w:val="2"/>
              </w:numPr>
              <w:spacing w:before="22" w:after="22"/>
            </w:pPr>
            <w:r>
              <w:rPr>
                <w:rFonts w:ascii="Arial" w:cs="Arial" w:eastAsia="Arial" w:hAnsi="Arial"/>
                <w:sz w:val="17"/>
                <w:szCs w:val="17"/>
              </w:rPr>
              <w:t xml:space="preserve">Any current or future LLM or ML framework is a pluggable component, not a long-term commitment. The platform evolves with the AI landscape without stranding prior investment or forcing re-architecture.</w:t>
            </w:r>
          </w:p>
        </w:tc>
      </w:tr>
    </w:tbl>
    <w:p>
      <w:r>
        <w:br w:type="page"/>
      </w:r>
    </w:p>
    <w:p>
      <w:pPr>
        <w:pBdr>
          <w:bottom w:val="single" w:color="0D5FAA" w:sz="10" w:space="5"/>
        </w:pBdr>
        <w:spacing w:before="220" w:after="80"/>
      </w:pPr>
      <w:r>
        <w:rPr>
          <w:rFonts w:ascii="Arial" w:cs="Arial" w:eastAsia="Arial" w:hAnsi="Arial"/>
          <w:b/>
          <w:bCs/>
          <w:color w:val="1A3A5C"/>
          <w:sz w:val="27"/>
          <w:szCs w:val="27"/>
        </w:rPr>
        <w:t xml:space="preserve">3.   Platform Tenets, Enablers &amp; Business Outcomes</w:t>
      </w:r>
    </w:p>
    <w:p>
      <w:pPr>
        <w:spacing w:before="85" w:after="90"/>
      </w:pPr>
      <w:r>
        <w:rPr>
          <w:rFonts w:ascii="Arial" w:cs="Arial" w:eastAsia="Arial" w:hAnsi="Arial"/>
          <w:sz w:val="19"/>
          <w:szCs w:val="19"/>
        </w:rPr>
        <w:t xml:space="preserve">Each platform tenet is grounded in a specific set of enabling capabilities and drives a measurable business outcome. AgenticDT activates these capabilities in-place within the existing technology estate — no greenfield re-platform required. The table below is the CIO’s single view of what the platform does, how it does it, and the firm-level return.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60"/>
        <w:gridCol w:w="2840"/>
        <w:gridCol w:w="1600"/>
        <w:gridCol w:w="2800"/>
      </w:tblGrid>
      <w:tr>
        <w:tc>
          <w:tcPr>
            <w:tcW w:type="dxa" w:w="196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Platform Tenet</w:t>
            </w:r>
          </w:p>
        </w:tc>
        <w:tc>
          <w:tcPr>
            <w:tcW w:type="dxa" w:w="284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Enabling Capabilities</w:t>
            </w:r>
          </w:p>
        </w:tc>
        <w:tc>
          <w:tcPr>
            <w:tcW w:type="dxa" w:w="160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Business Outcome</w:t>
            </w:r>
          </w:p>
        </w:tc>
        <w:tc>
          <w:tcPr>
            <w:tcW w:type="dxa" w:w="280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Value to the Firm</w:t>
            </w:r>
          </w:p>
        </w:tc>
      </w:tr>
      <w:tr>
        <w:tc>
          <w:tcPr>
            <w:tcW w:type="dxa" w:w="196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b/>
                <w:bCs/>
                <w:color w:val="1A3A5C"/>
                <w:sz w:val="17"/>
                <w:szCs w:val="17"/>
              </w:rPr>
              <w:t xml:space="preserve">Autonomous Governance</w:t>
            </w:r>
          </w:p>
        </w:tc>
        <w:tc>
          <w:tcPr>
            <w:tcW w:type="dxa" w:w="284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pPr>
              <w:spacing w:before="15" w:after="15"/>
            </w:pPr>
            <w:r>
              <w:rPr>
                <w:rFonts w:ascii="Arial" w:cs="Arial" w:eastAsia="Arial" w:hAnsi="Arial"/>
                <w:b/>
                <w:bCs/>
                <w:color w:val="0E7490"/>
                <w:sz w:val="16"/>
                <w:szCs w:val="16"/>
              </w:rPr>
              <w:t xml:space="preserve">AI Agent Orchestration: </w:t>
            </w:r>
            <w:r>
              <w:rPr>
                <w:rFonts w:ascii="Arial" w:cs="Arial" w:eastAsia="Arial" w:hAnsi="Arial"/>
                <w:sz w:val="16"/>
                <w:szCs w:val="16"/>
              </w:rPr>
              <w:t xml:space="preserve">38 agents enforce GDPR/CCPA/internal risk rules autonomously at the landing zone, replacing manual compliance reviews</w:t>
            </w:r>
          </w:p>
          <w:p>
            <w:pPr>
              <w:spacing w:before="15" w:after="15"/>
            </w:pPr>
            <w:r>
              <w:rPr>
                <w:rFonts w:ascii="Arial" w:cs="Arial" w:eastAsia="Arial" w:hAnsi="Arial"/>
                <w:b/>
                <w:bCs/>
                <w:color w:val="0E7490"/>
                <w:sz w:val="16"/>
                <w:szCs w:val="16"/>
              </w:rPr>
              <w:t xml:space="preserve">Semantic Registry: </w:t>
            </w:r>
            <w:r>
              <w:rPr>
                <w:rFonts w:ascii="Arial" w:cs="Arial" w:eastAsia="Arial" w:hAnsi="Arial"/>
                <w:sz w:val="16"/>
                <w:szCs w:val="16"/>
              </w:rPr>
              <w:t xml:space="preserve">1,842 registered schemas with full lineage provide always-current governance and discovery without manual curation overhead</w:t>
            </w:r>
          </w:p>
          <w:p>
            <w:pPr>
              <w:spacing w:before="15" w:after="15"/>
            </w:pPr>
            <w:r>
              <w:rPr>
                <w:rFonts w:ascii="Arial" w:cs="Arial" w:eastAsia="Arial" w:hAnsi="Arial"/>
                <w:b/>
                <w:bCs/>
                <w:color w:val="0E7490"/>
                <w:sz w:val="16"/>
                <w:szCs w:val="16"/>
              </w:rPr>
              <w:t xml:space="preserve">Policy-as-Code: </w:t>
            </w:r>
            <w:r>
              <w:rPr>
                <w:rFonts w:ascii="Arial" w:cs="Arial" w:eastAsia="Arial" w:hAnsi="Arial"/>
                <w:sz w:val="16"/>
                <w:szCs w:val="16"/>
              </w:rPr>
              <w:t xml:space="preserve">Compliance rules are executable, version-controlled, and applied at the moment of ingestion — not as a downstream audit</w:t>
            </w:r>
          </w:p>
        </w:tc>
        <w:tc>
          <w:tcPr>
            <w:tcW w:type="dxa" w:w="160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b/>
                <w:bCs/>
                <w:color w:val="0E7490"/>
                <w:sz w:val="17"/>
                <w:szCs w:val="17"/>
              </w:rPr>
              <w:t xml:space="preserve">Zero-Delay Compliance</w:t>
            </w:r>
          </w:p>
        </w:tc>
        <w:tc>
          <w:tcPr>
            <w:tcW w:type="dxa" w:w="280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sz w:val="16"/>
                <w:szCs w:val="16"/>
              </w:rPr>
              <w:t xml:space="preserve">Regulatory drag eliminated. Products launch 30% faster because the compliance audit is baked into ingestion, not bolted on after.</w:t>
            </w:r>
          </w:p>
        </w:tc>
      </w:tr>
      <w:tr>
        <w:tc>
          <w:tcPr>
            <w:tcW w:type="dxa" w:w="196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b/>
                <w:bCs/>
                <w:color w:val="1A3A5C"/>
                <w:sz w:val="17"/>
                <w:szCs w:val="17"/>
              </w:rPr>
              <w:t xml:space="preserve">Semantic-First Ingestion</w:t>
            </w:r>
          </w:p>
        </w:tc>
        <w:tc>
          <w:tcPr>
            <w:tcW w:type="dxa" w:w="284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pPr>
              <w:spacing w:before="15" w:after="15"/>
            </w:pPr>
            <w:r>
              <w:rPr>
                <w:rFonts w:ascii="Arial" w:cs="Arial" w:eastAsia="Arial" w:hAnsi="Arial"/>
                <w:b/>
                <w:bCs/>
                <w:color w:val="0E7490"/>
                <w:sz w:val="16"/>
                <w:szCs w:val="16"/>
              </w:rPr>
              <w:t xml:space="preserve">Connector Library: </w:t>
            </w:r>
            <w:r>
              <w:rPr>
                <w:rFonts w:ascii="Arial" w:cs="Arial" w:eastAsia="Arial" w:hAnsi="Arial"/>
                <w:sz w:val="16"/>
                <w:szCs w:val="16"/>
              </w:rPr>
              <w:t xml:space="preserve">284+ pre-built integrations for Confluent/MSK, Flink, Spark, Snowflake, Databricks, and REST APIs eliminate integration sprints</w:t>
            </w:r>
          </w:p>
          <w:p>
            <w:pPr>
              <w:spacing w:before="15" w:after="15"/>
            </w:pPr>
            <w:r>
              <w:rPr>
                <w:rFonts w:ascii="Arial" w:cs="Arial" w:eastAsia="Arial" w:hAnsi="Arial"/>
                <w:b/>
                <w:bCs/>
                <w:color w:val="0E7490"/>
                <w:sz w:val="16"/>
                <w:szCs w:val="16"/>
              </w:rPr>
              <w:t xml:space="preserve">Semantic Registry: </w:t>
            </w:r>
            <w:r>
              <w:rPr>
                <w:rFonts w:ascii="Arial" w:cs="Arial" w:eastAsia="Arial" w:hAnsi="Arial"/>
                <w:sz w:val="16"/>
                <w:szCs w:val="16"/>
              </w:rPr>
              <w:t xml:space="preserve">Auto-maps raw formats (COBOL, JSON, CSV) to a Golden Schema on arrival — no manual ETL mapping backlog</w:t>
            </w:r>
          </w:p>
          <w:p>
            <w:pPr>
              <w:spacing w:before="15" w:after="15"/>
            </w:pPr>
            <w:r>
              <w:rPr>
                <w:rFonts w:ascii="Arial" w:cs="Arial" w:eastAsia="Arial" w:hAnsi="Arial"/>
                <w:b/>
                <w:bCs/>
                <w:color w:val="0E7490"/>
                <w:sz w:val="16"/>
                <w:szCs w:val="16"/>
              </w:rPr>
              <w:t xml:space="preserve">Automated Labeling: </w:t>
            </w:r>
            <w:r>
              <w:rPr>
                <w:rFonts w:ascii="Arial" w:cs="Arial" w:eastAsia="Arial" w:hAnsi="Arial"/>
                <w:sz w:val="16"/>
                <w:szCs w:val="16"/>
              </w:rPr>
              <w:t xml:space="preserve">Unstructured data (PDFs, emails, recordings) converted to embeddings at ingestion, unlocking the 80% of enterprise data historically dark</w:t>
            </w:r>
          </w:p>
        </w:tc>
        <w:tc>
          <w:tcPr>
            <w:tcW w:type="dxa" w:w="160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b/>
                <w:bCs/>
                <w:color w:val="0E7490"/>
                <w:sz w:val="17"/>
                <w:szCs w:val="17"/>
              </w:rPr>
              <w:t xml:space="preserve">Data Liquidity</w:t>
            </w:r>
          </w:p>
        </w:tc>
        <w:tc>
          <w:tcPr>
            <w:tcW w:type="dxa" w:w="280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sz w:val="16"/>
                <w:szCs w:val="16"/>
              </w:rPr>
              <w:t xml:space="preserve">New entities and LOBs integrated in days, not months, while meeting corporate compliance standards. Dark data activated as a decision-making asset.</w:t>
            </w:r>
          </w:p>
        </w:tc>
      </w:tr>
      <w:tr>
        <w:tc>
          <w:tcPr>
            <w:tcW w:type="dxa" w:w="196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b/>
                <w:bCs/>
                <w:color w:val="1A3A5C"/>
                <w:sz w:val="17"/>
                <w:szCs w:val="17"/>
              </w:rPr>
              <w:t xml:space="preserve">Self-Healing Operations</w:t>
            </w:r>
          </w:p>
        </w:tc>
        <w:tc>
          <w:tcPr>
            <w:tcW w:type="dxa" w:w="284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pPr>
              <w:spacing w:before="15" w:after="15"/>
            </w:pPr>
            <w:r>
              <w:rPr>
                <w:rFonts w:ascii="Arial" w:cs="Arial" w:eastAsia="Arial" w:hAnsi="Arial"/>
                <w:b/>
                <w:bCs/>
                <w:color w:val="0E7490"/>
                <w:sz w:val="16"/>
                <w:szCs w:val="16"/>
              </w:rPr>
              <w:t xml:space="preserve">Self-Healing Pipelines: </w:t>
            </w:r>
            <w:r>
              <w:rPr>
                <w:rFonts w:ascii="Arial" w:cs="Arial" w:eastAsia="Arial" w:hAnsi="Arial"/>
                <w:sz w:val="16"/>
                <w:szCs w:val="16"/>
              </w:rPr>
              <w:t xml:space="preserve">Root-cause detection and automated patch application reduce mean-time-to-recovery from hours to minutes, with full audit trails</w:t>
            </w:r>
          </w:p>
          <w:p>
            <w:pPr>
              <w:spacing w:before="15" w:after="15"/>
            </w:pPr>
            <w:r>
              <w:rPr>
                <w:rFonts w:ascii="Arial" w:cs="Arial" w:eastAsia="Arial" w:hAnsi="Arial"/>
                <w:b/>
                <w:bCs/>
                <w:color w:val="0E7490"/>
                <w:sz w:val="16"/>
                <w:szCs w:val="16"/>
              </w:rPr>
              <w:t xml:space="preserve">Circuit Breaker Pattern: </w:t>
            </w:r>
            <w:r>
              <w:rPr>
                <w:rFonts w:ascii="Arial" w:cs="Arial" w:eastAsia="Arial" w:hAnsi="Arial"/>
                <w:sz w:val="16"/>
                <w:szCs w:val="16"/>
              </w:rPr>
              <w:t xml:space="preserve">Halts data flow on anomaly detection, learns from each incident, embeds patterns into future models — reducing false positives over time</w:t>
            </w:r>
          </w:p>
          <w:p>
            <w:pPr>
              <w:spacing w:before="15" w:after="15"/>
            </w:pPr>
            <w:r>
              <w:rPr>
                <w:rFonts w:ascii="Arial" w:cs="Arial" w:eastAsia="Arial" w:hAnsi="Arial"/>
                <w:b/>
                <w:bCs/>
                <w:color w:val="0E7490"/>
                <w:sz w:val="16"/>
                <w:szCs w:val="16"/>
              </w:rPr>
              <w:t xml:space="preserve">AI Agent Orchestration: </w:t>
            </w:r>
            <w:r>
              <w:rPr>
                <w:rFonts w:ascii="Arial" w:cs="Arial" w:eastAsia="Arial" w:hAnsi="Arial"/>
                <w:sz w:val="16"/>
                <w:szCs w:val="16"/>
              </w:rPr>
              <w:t xml:space="preserve">Replaces manual runbooks with auditable agentic automation across ingestion, quality, metadata, and publishing workflows</w:t>
            </w:r>
          </w:p>
        </w:tc>
        <w:tc>
          <w:tcPr>
            <w:tcW w:type="dxa" w:w="160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b/>
                <w:bCs/>
                <w:color w:val="0E7490"/>
                <w:sz w:val="17"/>
                <w:szCs w:val="17"/>
              </w:rPr>
              <w:t xml:space="preserve">Operational Excellence</w:t>
            </w:r>
          </w:p>
        </w:tc>
        <w:tc>
          <w:tcPr>
            <w:tcW w:type="dxa" w:w="2800"/>
            <w:tcBorders>
              <w:top w:val="single" w:color="C5D8EC" w:sz="4"/>
              <w:left w:val="single" w:color="C5D8EC" w:sz="4"/>
              <w:bottom w:val="single" w:color="C5D8EC" w:sz="4"/>
              <w:right w:val="single" w:color="C5D8EC" w:sz="4"/>
            </w:tcBorders>
            <w:shd w:fill="E8F3FC" w:val="clear"/>
            <w:tcMar>
              <w:top w:type="dxa" w:w="85"/>
              <w:left w:type="dxa" w:w="110"/>
              <w:bottom w:type="dxa" w:w="85"/>
              <w:right w:type="dxa" w:w="110"/>
            </w:tcMar>
            <w:vAlign w:val="top"/>
          </w:tcPr>
          <w:p>
            <w:r>
              <w:rPr>
                <w:rFonts w:ascii="Arial" w:cs="Arial" w:eastAsia="Arial" w:hAnsi="Arial"/>
                <w:sz w:val="16"/>
                <w:szCs w:val="16"/>
              </w:rPr>
              <w:t xml:space="preserve">Cost-to-Income ratio improved. Data volume scales 10x without proportional growth in engineering investment. Engineers focus on architecture, not plumbing.</w:t>
            </w:r>
          </w:p>
        </w:tc>
      </w:tr>
      <w:tr>
        <w:tc>
          <w:tcPr>
            <w:tcW w:type="dxa" w:w="196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b/>
                <w:bCs/>
                <w:color w:val="1A3A5C"/>
                <w:sz w:val="17"/>
                <w:szCs w:val="17"/>
              </w:rPr>
              <w:t xml:space="preserve">JIT Data Synthesis</w:t>
            </w:r>
          </w:p>
        </w:tc>
        <w:tc>
          <w:tcPr>
            <w:tcW w:type="dxa" w:w="284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pPr>
              <w:spacing w:before="15" w:after="15"/>
            </w:pPr>
            <w:r>
              <w:rPr>
                <w:rFonts w:ascii="Arial" w:cs="Arial" w:eastAsia="Arial" w:hAnsi="Arial"/>
                <w:b/>
                <w:bCs/>
                <w:color w:val="0E7490"/>
                <w:sz w:val="16"/>
                <w:szCs w:val="16"/>
              </w:rPr>
              <w:t xml:space="preserve">JIT Data Synthesis: </w:t>
            </w:r>
            <w:r>
              <w:rPr>
                <w:rFonts w:ascii="Arial" w:cs="Arial" w:eastAsia="Arial" w:hAnsi="Arial"/>
                <w:sz w:val="16"/>
                <w:szCs w:val="16"/>
              </w:rPr>
              <w:t xml:space="preserve">Agents locate data, negotiate access via digital certificates, and assemble virtual views on demand — eliminating weeks-long Request-to-Build cycles</w:t>
            </w:r>
          </w:p>
          <w:p>
            <w:pPr>
              <w:spacing w:before="15" w:after="15"/>
            </w:pPr>
            <w:r>
              <w:rPr>
                <w:rFonts w:ascii="Arial" w:cs="Arial" w:eastAsia="Arial" w:hAnsi="Arial"/>
                <w:b/>
                <w:bCs/>
                <w:color w:val="0E7490"/>
                <w:sz w:val="16"/>
                <w:szCs w:val="16"/>
              </w:rPr>
              <w:t xml:space="preserve">Multi-Interface Access: </w:t>
            </w:r>
            <w:r>
              <w:rPr>
                <w:rFonts w:ascii="Arial" w:cs="Arial" w:eastAsia="Arial" w:hAnsi="Arial"/>
                <w:sz w:val="16"/>
                <w:szCs w:val="16"/>
              </w:rPr>
              <w:t xml:space="preserve">Web, native iOS, and programmatic APIs with natural language and voice as first-class interaction modes for every persona and use case</w:t>
            </w:r>
          </w:p>
          <w:p>
            <w:pPr>
              <w:spacing w:before="15" w:after="15"/>
            </w:pPr>
            <w:r>
              <w:rPr>
                <w:rFonts w:ascii="Arial" w:cs="Arial" w:eastAsia="Arial" w:hAnsi="Arial"/>
                <w:b/>
                <w:bCs/>
                <w:color w:val="0E7490"/>
                <w:sz w:val="16"/>
                <w:szCs w:val="16"/>
              </w:rPr>
              <w:t xml:space="preserve">Vendor-Neutral Architecture: </w:t>
            </w:r>
            <w:r>
              <w:rPr>
                <w:rFonts w:ascii="Arial" w:cs="Arial" w:eastAsia="Arial" w:hAnsi="Arial"/>
                <w:sz w:val="16"/>
                <w:szCs w:val="16"/>
              </w:rPr>
              <w:t xml:space="preserve">No single provider exceeds 30% of any critical capability, preserving optionality as the AI landscape evolves</w:t>
            </w:r>
          </w:p>
        </w:tc>
        <w:tc>
          <w:tcPr>
            <w:tcW w:type="dxa" w:w="160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b/>
                <w:bCs/>
                <w:color w:val="0E7490"/>
                <w:sz w:val="17"/>
                <w:szCs w:val="17"/>
              </w:rPr>
              <w:t xml:space="preserve">Strategic Agility</w:t>
            </w:r>
          </w:p>
        </w:tc>
        <w:tc>
          <w:tcPr>
            <w:tcW w:type="dxa" w:w="2800"/>
            <w:tcBorders>
              <w:top w:val="single" w:color="C5D8EC" w:sz="4"/>
              <w:left w:val="single" w:color="C5D8EC" w:sz="4"/>
              <w:bottom w:val="single" w:color="C5D8EC" w:sz="4"/>
              <w:right w:val="single" w:color="C5D8EC" w:sz="4"/>
            </w:tcBorders>
            <w:shd w:fill="FFFFFF" w:val="clear"/>
            <w:tcMar>
              <w:top w:type="dxa" w:w="85"/>
              <w:left w:type="dxa" w:w="110"/>
              <w:bottom w:type="dxa" w:w="85"/>
              <w:right w:type="dxa" w:w="110"/>
            </w:tcMar>
            <w:vAlign w:val="top"/>
          </w:tcPr>
          <w:p>
            <w:r>
              <w:rPr>
                <w:rFonts w:ascii="Arial" w:cs="Arial" w:eastAsia="Arial" w:hAnsi="Arial"/>
                <w:sz w:val="16"/>
                <w:szCs w:val="16"/>
              </w:rPr>
              <w:t xml:space="preserve">Real-time decisioning during market volatility. Business pivots in hours because data is a liquid asset, not a static silo. New AI capabilities adopted without re-architecture.</w:t>
            </w:r>
          </w:p>
        </w:tc>
      </w:tr>
    </w:tbl>
    <w:p>
      <w:pPr>
        <w:spacing w:before="0" w:after="65"/>
      </w:pPr>
    </w:p>
    <w:p>
      <w:pPr>
        <w:pBdr>
          <w:bottom w:val="single" w:color="0D5FAA" w:sz="10" w:space="5"/>
        </w:pBdr>
        <w:spacing w:before="220" w:after="80"/>
      </w:pPr>
      <w:r>
        <w:rPr>
          <w:rFonts w:ascii="Arial" w:cs="Arial" w:eastAsia="Arial" w:hAnsi="Arial"/>
          <w:b/>
          <w:bCs/>
          <w:color w:val="1A3A5C"/>
          <w:sz w:val="27"/>
          <w:szCs w:val="27"/>
        </w:rPr>
        <w:t xml:space="preserve">4.   Strategy Details</w:t>
      </w:r>
    </w:p>
    <w:p>
      <w:pPr>
        <w:spacing w:before="140" w:after="45"/>
      </w:pPr>
      <w:r>
        <w:rPr>
          <w:rFonts w:ascii="Arial" w:cs="Arial" w:eastAsia="Arial" w:hAnsi="Arial"/>
          <w:b/>
          <w:bCs/>
          <w:color w:val="0E7490"/>
          <w:sz w:val="20"/>
          <w:szCs w:val="20"/>
        </w:rPr>
        <w:t xml:space="preserve">Four Strategic Pillars</w:t>
      </w:r>
    </w:p>
    <w:p>
      <w:pPr>
        <w:spacing w:before="40" w:after="90"/>
      </w:pPr>
      <w:r>
        <w:rPr>
          <w:rFonts w:ascii="Arial" w:cs="Arial" w:eastAsia="Arial" w:hAnsi="Arial"/>
          <w:sz w:val="19"/>
          <w:szCs w:val="19"/>
        </w:rPr>
        <w:t xml:space="preserve">The strategy is operationalised through four interdependent pillars forming a complete data value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40"/>
            <w:tcBorders>
              <w:top w:val="single" w:color="C5D8EC" w:sz="4"/>
              <w:left w:val="single" w:color="C5D8EC" w:sz="4"/>
              <w:bottom w:val="single" w:color="C5D8EC" w:sz="4"/>
              <w:right w:val="single" w:color="C5D8EC" w:sz="4"/>
            </w:tcBorders>
            <w:shd w:fill="E8F3FC" w:val="clear"/>
            <w:tcMar>
              <w:top w:type="dxa" w:w="110"/>
              <w:left w:type="dxa" w:w="130"/>
              <w:bottom w:type="dxa" w:w="110"/>
              <w:right w:type="dxa" w:w="130"/>
            </w:tcMar>
            <w:vAlign w:val="top"/>
          </w:tcPr>
          <w:p>
            <w:pPr>
              <w:spacing w:before="0" w:after="20"/>
            </w:pPr>
            <w:r>
              <w:rPr>
                <w:rFonts w:ascii="Arial" w:cs="Arial" w:eastAsia="Arial" w:hAnsi="Arial"/>
                <w:b/>
                <w:bCs/>
                <w:color w:val="0D5FAA"/>
                <w:sz w:val="36"/>
                <w:szCs w:val="36"/>
              </w:rPr>
              <w:t xml:space="preserve">01</w:t>
            </w:r>
          </w:p>
          <w:p>
            <w:pPr>
              <w:spacing w:before="0" w:after="45"/>
            </w:pPr>
            <w:r>
              <w:rPr>
                <w:rFonts w:ascii="Arial" w:cs="Arial" w:eastAsia="Arial" w:hAnsi="Arial"/>
                <w:b/>
                <w:bCs/>
                <w:color w:val="1A3A5C"/>
                <w:sz w:val="18"/>
                <w:szCs w:val="18"/>
              </w:rPr>
              <w:t xml:space="preserve">Ingest &amp; Stream</w:t>
            </w:r>
          </w:p>
          <w:p>
            <w:pPr>
              <w:spacing w:before="0" w:after="0"/>
            </w:pPr>
            <w:r>
              <w:rPr>
                <w:rFonts w:ascii="Arial" w:cs="Arial" w:eastAsia="Arial" w:hAnsi="Arial"/>
                <w:color w:val="444444"/>
                <w:sz w:val="16"/>
                <w:szCs w:val="16"/>
              </w:rPr>
              <w:t xml:space="preserve">Event-driven ingestion from 284+ sources. Structured and unstructured data unified under a single agentic orchestration layer.</w:t>
            </w:r>
          </w:p>
        </w:tc>
        <w:tc>
          <w:tcPr>
            <w:tcW w:type="dxa" w:w="2340"/>
            <w:tcBorders>
              <w:top w:val="single" w:color="C5D8EC" w:sz="4"/>
              <w:left w:val="single" w:color="C5D8EC" w:sz="4"/>
              <w:bottom w:val="single" w:color="C5D8EC" w:sz="4"/>
              <w:right w:val="single" w:color="C5D8EC" w:sz="4"/>
            </w:tcBorders>
            <w:shd w:fill="EAF7F1" w:val="clear"/>
            <w:tcMar>
              <w:top w:type="dxa" w:w="110"/>
              <w:left w:type="dxa" w:w="130"/>
              <w:bottom w:type="dxa" w:w="110"/>
              <w:right w:type="dxa" w:w="130"/>
            </w:tcMar>
            <w:vAlign w:val="top"/>
          </w:tcPr>
          <w:p>
            <w:pPr>
              <w:spacing w:before="0" w:after="20"/>
            </w:pPr>
            <w:r>
              <w:rPr>
                <w:rFonts w:ascii="Arial" w:cs="Arial" w:eastAsia="Arial" w:hAnsi="Arial"/>
                <w:b/>
                <w:bCs/>
                <w:color w:val="0D5FAA"/>
                <w:sz w:val="36"/>
                <w:szCs w:val="36"/>
              </w:rPr>
              <w:t xml:space="preserve">02</w:t>
            </w:r>
          </w:p>
          <w:p>
            <w:pPr>
              <w:spacing w:before="0" w:after="45"/>
            </w:pPr>
            <w:r>
              <w:rPr>
                <w:rFonts w:ascii="Arial" w:cs="Arial" w:eastAsia="Arial" w:hAnsi="Arial"/>
                <w:b/>
                <w:bCs/>
                <w:color w:val="1A3A5C"/>
                <w:sz w:val="18"/>
                <w:szCs w:val="18"/>
              </w:rPr>
              <w:t xml:space="preserve">Understand &amp; Catalogue</w:t>
            </w:r>
          </w:p>
          <w:p>
            <w:pPr>
              <w:spacing w:before="0" w:after="0"/>
            </w:pPr>
            <w:r>
              <w:rPr>
                <w:rFonts w:ascii="Arial" w:cs="Arial" w:eastAsia="Arial" w:hAnsi="Arial"/>
                <w:color w:val="444444"/>
                <w:sz w:val="16"/>
                <w:szCs w:val="16"/>
              </w:rPr>
              <w:t xml:space="preserve">Semantic-First ingestion across 1,842 schemas. Knowledge graph and vector store at the architectural centre. Unstructured data as a first-class asset.</w:t>
            </w:r>
          </w:p>
        </w:tc>
        <w:tc>
          <w:tcPr>
            <w:tcW w:type="dxa" w:w="2340"/>
            <w:tcBorders>
              <w:top w:val="single" w:color="C5D8EC" w:sz="4"/>
              <w:left w:val="single" w:color="C5D8EC" w:sz="4"/>
              <w:bottom w:val="single" w:color="C5D8EC" w:sz="4"/>
              <w:right w:val="single" w:color="C5D8EC" w:sz="4"/>
            </w:tcBorders>
            <w:shd w:fill="FEF8EC" w:val="clear"/>
            <w:tcMar>
              <w:top w:type="dxa" w:w="110"/>
              <w:left w:type="dxa" w:w="130"/>
              <w:bottom w:type="dxa" w:w="110"/>
              <w:right w:type="dxa" w:w="130"/>
            </w:tcMar>
            <w:vAlign w:val="top"/>
          </w:tcPr>
          <w:p>
            <w:pPr>
              <w:spacing w:before="0" w:after="20"/>
            </w:pPr>
            <w:r>
              <w:rPr>
                <w:rFonts w:ascii="Arial" w:cs="Arial" w:eastAsia="Arial" w:hAnsi="Arial"/>
                <w:b/>
                <w:bCs/>
                <w:color w:val="0D5FAA"/>
                <w:sz w:val="36"/>
                <w:szCs w:val="36"/>
              </w:rPr>
              <w:t xml:space="preserve">03</w:t>
            </w:r>
          </w:p>
          <w:p>
            <w:pPr>
              <w:spacing w:before="0" w:after="45"/>
            </w:pPr>
            <w:r>
              <w:rPr>
                <w:rFonts w:ascii="Arial" w:cs="Arial" w:eastAsia="Arial" w:hAnsi="Arial"/>
                <w:b/>
                <w:bCs/>
                <w:color w:val="1A3A5C"/>
                <w:sz w:val="18"/>
                <w:szCs w:val="18"/>
              </w:rPr>
              <w:t xml:space="preserve">Govern &amp; Trust</w:t>
            </w:r>
          </w:p>
          <w:p>
            <w:pPr>
              <w:spacing w:before="0" w:after="0"/>
            </w:pPr>
            <w:r>
              <w:rPr>
                <w:rFonts w:ascii="Arial" w:cs="Arial" w:eastAsia="Arial" w:hAnsi="Arial"/>
                <w:color w:val="444444"/>
                <w:sz w:val="16"/>
                <w:szCs w:val="16"/>
              </w:rPr>
              <w:t xml:space="preserve">Policy-as-Code applied at ingestion. Continuous quality scoring at 94.2%. Full lineage, ethics observability, and regulatory defensibility.</w:t>
            </w:r>
          </w:p>
        </w:tc>
        <w:tc>
          <w:tcPr>
            <w:tcW w:type="dxa" w:w="2340"/>
            <w:tcBorders>
              <w:top w:val="single" w:color="C5D8EC" w:sz="4"/>
              <w:left w:val="single" w:color="C5D8EC" w:sz="4"/>
              <w:bottom w:val="single" w:color="C5D8EC" w:sz="4"/>
              <w:right w:val="single" w:color="C5D8EC" w:sz="4"/>
            </w:tcBorders>
            <w:shd w:fill="F3EFFE" w:val="clear"/>
            <w:tcMar>
              <w:top w:type="dxa" w:w="110"/>
              <w:left w:type="dxa" w:w="130"/>
              <w:bottom w:type="dxa" w:w="110"/>
              <w:right w:type="dxa" w:w="130"/>
            </w:tcMar>
            <w:vAlign w:val="top"/>
          </w:tcPr>
          <w:p>
            <w:pPr>
              <w:spacing w:before="0" w:after="20"/>
            </w:pPr>
            <w:r>
              <w:rPr>
                <w:rFonts w:ascii="Arial" w:cs="Arial" w:eastAsia="Arial" w:hAnsi="Arial"/>
                <w:b/>
                <w:bCs/>
                <w:color w:val="0D5FAA"/>
                <w:sz w:val="36"/>
                <w:szCs w:val="36"/>
              </w:rPr>
              <w:t xml:space="preserve">04</w:t>
            </w:r>
          </w:p>
          <w:p>
            <w:pPr>
              <w:spacing w:before="0" w:after="45"/>
            </w:pPr>
            <w:r>
              <w:rPr>
                <w:rFonts w:ascii="Arial" w:cs="Arial" w:eastAsia="Arial" w:hAnsi="Arial"/>
                <w:b/>
                <w:bCs/>
                <w:color w:val="1A3A5C"/>
                <w:sz w:val="18"/>
                <w:szCs w:val="18"/>
              </w:rPr>
              <w:t xml:space="preserve">Act &amp; Deploy</w:t>
            </w:r>
          </w:p>
          <w:p>
            <w:pPr>
              <w:spacing w:before="0" w:after="0"/>
            </w:pPr>
            <w:r>
              <w:rPr>
                <w:rFonts w:ascii="Arial" w:cs="Arial" w:eastAsia="Arial" w:hAnsi="Arial"/>
                <w:color w:val="444444"/>
                <w:sz w:val="16"/>
                <w:szCs w:val="16"/>
              </w:rPr>
              <w:t xml:space="preserve">Natural language and voice AI Assistant. Human-in-the-loop approvals for Tier-1 actions. JIT synthesis for real-time business decisioning.</w:t>
            </w:r>
          </w:p>
        </w:tc>
      </w:tr>
    </w:tbl>
    <w:p>
      <w:pPr>
        <w:spacing w:before="0" w:after="65"/>
      </w:pPr>
    </w:p>
    <w:p>
      <w:r>
        <w:br w:type="page"/>
      </w:r>
    </w:p>
    <w:p>
      <w:pPr>
        <w:pBdr>
          <w:bottom w:val="single" w:color="0D5FAA" w:sz="10" w:space="5"/>
        </w:pBdr>
        <w:spacing w:before="220" w:after="80"/>
      </w:pPr>
      <w:r>
        <w:rPr>
          <w:rFonts w:ascii="Arial" w:cs="Arial" w:eastAsia="Arial" w:hAnsi="Arial"/>
          <w:b/>
          <w:bCs/>
          <w:color w:val="1A3A5C"/>
          <w:sz w:val="27"/>
          <w:szCs w:val="27"/>
        </w:rPr>
        <w:t xml:space="preserve">5.   Architecture Vision</w:t>
      </w:r>
    </w:p>
    <w:p>
      <w:pPr>
        <w:spacing w:before="85" w:after="100"/>
      </w:pPr>
      <w:r>
        <w:rPr>
          <w:rFonts w:ascii="Arial" w:cs="Arial" w:eastAsia="Arial" w:hAnsi="Arial"/>
          <w:sz w:val="19"/>
          <w:szCs w:val="19"/>
        </w:rPr>
        <w:t xml:space="preserve">The AgenticDT reference architecture is built on an event-driven foundation that processes both structured and unstructured data through five autonomous agent layers — from raw ingestion to AI-enriched data products. Each layer is independently operable and compounding in value when activated end-to-end.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Borders>
              <w:top w:val="single" w:color="C5D8EC" w:sz="4"/>
              <w:left w:val="single" w:color="C5D8EC" w:sz="4"/>
              <w:bottom w:val="single" w:color="C5D8EC" w:sz="4"/>
              <w:right w:val="single" w:color="C5D8EC" w:sz="4"/>
            </w:tcBorders>
            <w:shd w:fill="1A3A5C" w:val="clear"/>
            <w:tcMar>
              <w:top w:type="dxa" w:w="110"/>
              <w:left w:type="dxa" w:w="120"/>
              <w:bottom w:type="dxa" w:w="110"/>
              <w:right w:type="dxa" w:w="120"/>
            </w:tcMar>
            <w:vAlign w:val="center"/>
          </w:tcPr>
          <w:p>
            <w:pPr>
              <w:spacing w:before="0" w:after="20"/>
              <w:jc w:val="center"/>
            </w:pPr>
            <w:r>
              <w:rPr>
                <w:rFonts w:ascii="Arial" w:cs="Arial" w:eastAsia="Arial" w:hAnsi="Arial"/>
                <w:b/>
                <w:bCs/>
                <w:color w:val="FFFFFF"/>
                <w:sz w:val="28"/>
                <w:szCs w:val="28"/>
              </w:rPr>
              <w:t xml:space="preserve">L1</w:t>
            </w:r>
          </w:p>
          <w:p>
            <w:pPr>
              <w:spacing w:before="0" w:after="0"/>
              <w:jc w:val="center"/>
            </w:pPr>
            <w:r>
              <w:rPr>
                <w:rFonts w:ascii="Arial" w:cs="Arial" w:eastAsia="Arial" w:hAnsi="Arial"/>
                <w:b/>
                <w:bCs/>
                <w:color w:val="FFFFFF"/>
                <w:sz w:val="16"/>
                <w:szCs w:val="16"/>
              </w:rPr>
              <w:t xml:space="preserve">Event-Driven
Data Fabric</w:t>
            </w:r>
          </w:p>
        </w:tc>
        <w:tc>
          <w:tcPr>
            <w:tcW w:type="dxa" w:w="7460"/>
            <w:tcBorders>
              <w:top w:val="single" w:color="C5D8EC" w:sz="4"/>
              <w:left w:val="single" w:color="C5D8EC" w:sz="4"/>
              <w:bottom w:val="single" w:color="C5D8EC" w:sz="4"/>
              <w:right w:val="single" w:color="C5D8EC" w:sz="4"/>
            </w:tcBorders>
            <w:shd w:fill="F8FBFF" w:val="clear"/>
            <w:tcMar>
              <w:top w:type="dxa" w:w="100"/>
              <w:left w:type="dxa" w:w="130"/>
              <w:bottom w:type="dxa" w:w="100"/>
              <w:right w:type="dxa" w:w="130"/>
            </w:tcMar>
          </w:tcPr>
          <w:p>
            <w:pPr>
              <w:spacing w:before="20" w:after="20"/>
            </w:pPr>
            <w:r>
              <w:rPr>
                <w:rFonts w:ascii="Arial" w:cs="Arial" w:eastAsia="Arial" w:hAnsi="Arial"/>
                <w:b/>
                <w:bCs/>
                <w:color w:val="1A3A5C"/>
                <w:sz w:val="17"/>
                <w:szCs w:val="17"/>
              </w:rPr>
              <w:t xml:space="preserve">Structured &amp; Unstructured: </w:t>
            </w:r>
            <w:r>
              <w:rPr>
                <w:rFonts w:ascii="Arial" w:cs="Arial" w:eastAsia="Arial" w:hAnsi="Arial"/>
                <w:sz w:val="17"/>
                <w:szCs w:val="17"/>
              </w:rPr>
              <w:t xml:space="preserve">Both processed as first-class citizens — RDBMS, warehouses, APIs alongside PDFs, emails, call recordings, and media streams</w:t>
            </w:r>
          </w:p>
          <w:p>
            <w:pPr>
              <w:spacing w:before="20" w:after="20"/>
            </w:pPr>
            <w:r>
              <w:rPr>
                <w:rFonts w:ascii="Arial" w:cs="Arial" w:eastAsia="Arial" w:hAnsi="Arial"/>
                <w:b/>
                <w:bCs/>
                <w:color w:val="1A3A5C"/>
                <w:sz w:val="17"/>
                <w:szCs w:val="17"/>
              </w:rPr>
              <w:t xml:space="preserve">Unified Streaming Layer: </w:t>
            </w:r>
            <w:r>
              <w:rPr>
                <w:rFonts w:ascii="Arial" w:cs="Arial" w:eastAsia="Arial" w:hAnsi="Arial"/>
                <w:sz w:val="17"/>
                <w:szCs w:val="17"/>
              </w:rPr>
              <w:t xml:space="preserve">Confluent/MSK for real-time event streaming; Apache Flink/Spark for stateful processing; batch and stream unified under a single agentic orchestration plane</w:t>
            </w:r>
          </w:p>
          <w:p>
            <w:pPr>
              <w:spacing w:before="20" w:after="20"/>
            </w:pPr>
            <w:r>
              <w:rPr>
                <w:rFonts w:ascii="Arial" w:cs="Arial" w:eastAsia="Arial" w:hAnsi="Arial"/>
                <w:b/>
                <w:bCs/>
                <w:color w:val="1A3A5C"/>
                <w:sz w:val="17"/>
                <w:szCs w:val="17"/>
              </w:rPr>
              <w:t xml:space="preserve">Auto Schema Detection: </w:t>
            </w:r>
            <w:r>
              <w:rPr>
                <w:rFonts w:ascii="Arial" w:cs="Arial" w:eastAsia="Arial" w:hAnsi="Arial"/>
                <w:sz w:val="17"/>
                <w:szCs w:val="17"/>
              </w:rPr>
              <w:t xml:space="preserve">Registry captures schema on arrival; event-sourcing pattern enables full replay, reprocessing, and time-travel debugging without manual intervention</w:t>
            </w:r>
          </w:p>
        </w:tc>
      </w:tr>
      <w:tr>
        <w:tc>
          <w:tcPr>
            <w:tcW w:type="dxa" w:w="1900"/>
            <w:tcBorders>
              <w:top w:val="single" w:color="C5D8EC" w:sz="4"/>
              <w:left w:val="single" w:color="C5D8EC" w:sz="4"/>
              <w:bottom w:val="single" w:color="C5D8EC" w:sz="4"/>
              <w:right w:val="single" w:color="C5D8EC" w:sz="4"/>
            </w:tcBorders>
            <w:shd w:fill="0D5FAA" w:val="clear"/>
            <w:tcMar>
              <w:top w:type="dxa" w:w="110"/>
              <w:left w:type="dxa" w:w="120"/>
              <w:bottom w:type="dxa" w:w="110"/>
              <w:right w:type="dxa" w:w="120"/>
            </w:tcMar>
            <w:vAlign w:val="center"/>
          </w:tcPr>
          <w:p>
            <w:pPr>
              <w:spacing w:before="0" w:after="20"/>
              <w:jc w:val="center"/>
            </w:pPr>
            <w:r>
              <w:rPr>
                <w:rFonts w:ascii="Arial" w:cs="Arial" w:eastAsia="Arial" w:hAnsi="Arial"/>
                <w:b/>
                <w:bCs/>
                <w:color w:val="FFFFFF"/>
                <w:sz w:val="28"/>
                <w:szCs w:val="28"/>
              </w:rPr>
              <w:t xml:space="preserve">L2</w:t>
            </w:r>
          </w:p>
          <w:p>
            <w:pPr>
              <w:spacing w:before="0" w:after="0"/>
              <w:jc w:val="center"/>
            </w:pPr>
            <w:r>
              <w:rPr>
                <w:rFonts w:ascii="Arial" w:cs="Arial" w:eastAsia="Arial" w:hAnsi="Arial"/>
                <w:b/>
                <w:bCs/>
                <w:color w:val="FFFFFF"/>
                <w:sz w:val="16"/>
                <w:szCs w:val="16"/>
              </w:rPr>
              <w:t xml:space="preserve">Data
Management</w:t>
            </w:r>
          </w:p>
        </w:tc>
        <w:tc>
          <w:tcPr>
            <w:tcW w:type="dxa" w:w="7460"/>
            <w:tcBorders>
              <w:top w:val="single" w:color="C5D8EC" w:sz="4"/>
              <w:left w:val="single" w:color="C5D8EC" w:sz="4"/>
              <w:bottom w:val="single" w:color="C5D8EC" w:sz="4"/>
              <w:right w:val="single" w:color="C5D8EC" w:sz="4"/>
            </w:tcBorders>
            <w:shd w:fill="F8FBFF" w:val="clear"/>
            <w:tcMar>
              <w:top w:type="dxa" w:w="100"/>
              <w:left w:type="dxa" w:w="130"/>
              <w:bottom w:type="dxa" w:w="100"/>
              <w:right w:type="dxa" w:w="130"/>
            </w:tcMar>
          </w:tcPr>
          <w:p>
            <w:pPr>
              <w:spacing w:before="20" w:after="20"/>
            </w:pPr>
            <w:r>
              <w:rPr>
                <w:rFonts w:ascii="Arial" w:cs="Arial" w:eastAsia="Arial" w:hAnsi="Arial"/>
                <w:b/>
                <w:bCs/>
                <w:color w:val="0D5FAA"/>
                <w:sz w:val="17"/>
                <w:szCs w:val="17"/>
              </w:rPr>
              <w:t xml:space="preserve">Self-Healing Quality Agents: </w:t>
            </w:r>
            <w:r>
              <w:rPr>
                <w:rFonts w:ascii="Arial" w:cs="Arial" w:eastAsia="Arial" w:hAnsi="Arial"/>
                <w:sz w:val="17"/>
                <w:szCs w:val="17"/>
              </w:rPr>
              <w:t xml:space="preserve">Detect anomalies via circuit breakers, halt flow instantly, apply automated remediation, and embed learnings into future detection cycles — quality improves continuously without human toil</w:t>
            </w:r>
          </w:p>
          <w:p>
            <w:pPr>
              <w:spacing w:before="20" w:after="20"/>
            </w:pPr>
            <w:r>
              <w:rPr>
                <w:rFonts w:ascii="Arial" w:cs="Arial" w:eastAsia="Arial" w:hAnsi="Arial"/>
                <w:b/>
                <w:bCs/>
                <w:color w:val="0D5FAA"/>
                <w:sz w:val="17"/>
                <w:szCs w:val="17"/>
              </w:rPr>
              <w:t xml:space="preserve">Metadata Generation &amp; Enrichment: </w:t>
            </w:r>
            <w:r>
              <w:rPr>
                <w:rFonts w:ascii="Arial" w:cs="Arial" w:eastAsia="Arial" w:hAnsi="Arial"/>
                <w:sz w:val="17"/>
                <w:szCs w:val="17"/>
              </w:rPr>
              <w:t xml:space="preserve">Agents auto-generate lineage, business glossary mappings, PII classifications, and regulatory tags at ingestion; enrichment continues as data evolves and new relationships emerge</w:t>
            </w:r>
          </w:p>
          <w:p>
            <w:pPr>
              <w:spacing w:before="20" w:after="20"/>
            </w:pPr>
            <w:r>
              <w:rPr>
                <w:rFonts w:ascii="Arial" w:cs="Arial" w:eastAsia="Arial" w:hAnsi="Arial"/>
                <w:b/>
                <w:bCs/>
                <w:color w:val="0D5FAA"/>
                <w:sz w:val="17"/>
                <w:szCs w:val="17"/>
              </w:rPr>
              <w:t xml:space="preserve">Predictive Drift Detection: </w:t>
            </w:r>
            <w:r>
              <w:rPr>
                <w:rFonts w:ascii="Arial" w:cs="Arial" w:eastAsia="Arial" w:hAnsi="Arial"/>
                <w:sz w:val="17"/>
                <w:szCs w:val="17"/>
              </w:rPr>
              <w:t xml:space="preserve">Moves beyond static threshold alerts to model schema and statistical drift, anticipating downstream failures before they materialise and alerting engineers to high-confidence risks only</w:t>
            </w:r>
          </w:p>
        </w:tc>
      </w:tr>
      <w:tr>
        <w:tc>
          <w:tcPr>
            <w:tcW w:type="dxa" w:w="1900"/>
            <w:tcBorders>
              <w:top w:val="single" w:color="C5D8EC" w:sz="4"/>
              <w:left w:val="single" w:color="C5D8EC" w:sz="4"/>
              <w:bottom w:val="single" w:color="C5D8EC" w:sz="4"/>
              <w:right w:val="single" w:color="C5D8EC" w:sz="4"/>
            </w:tcBorders>
            <w:shd w:fill="0E7490" w:val="clear"/>
            <w:tcMar>
              <w:top w:type="dxa" w:w="110"/>
              <w:left w:type="dxa" w:w="120"/>
              <w:bottom w:type="dxa" w:w="110"/>
              <w:right w:type="dxa" w:w="120"/>
            </w:tcMar>
            <w:vAlign w:val="center"/>
          </w:tcPr>
          <w:p>
            <w:pPr>
              <w:spacing w:before="0" w:after="20"/>
              <w:jc w:val="center"/>
            </w:pPr>
            <w:r>
              <w:rPr>
                <w:rFonts w:ascii="Arial" w:cs="Arial" w:eastAsia="Arial" w:hAnsi="Arial"/>
                <w:b/>
                <w:bCs/>
                <w:color w:val="FFFFFF"/>
                <w:sz w:val="28"/>
                <w:szCs w:val="28"/>
              </w:rPr>
              <w:t xml:space="preserve">L3</w:t>
            </w:r>
          </w:p>
          <w:p>
            <w:pPr>
              <w:spacing w:before="0" w:after="0"/>
              <w:jc w:val="center"/>
            </w:pPr>
            <w:r>
              <w:rPr>
                <w:rFonts w:ascii="Arial" w:cs="Arial" w:eastAsia="Arial" w:hAnsi="Arial"/>
                <w:b/>
                <w:bCs/>
                <w:color w:val="FFFFFF"/>
                <w:sz w:val="16"/>
                <w:szCs w:val="16"/>
              </w:rPr>
              <w:t xml:space="preserve">Data Products
&amp; Self-Service</w:t>
            </w:r>
          </w:p>
        </w:tc>
        <w:tc>
          <w:tcPr>
            <w:tcW w:type="dxa" w:w="7460"/>
            <w:tcBorders>
              <w:top w:val="single" w:color="C5D8EC" w:sz="4"/>
              <w:left w:val="single" w:color="C5D8EC" w:sz="4"/>
              <w:bottom w:val="single" w:color="C5D8EC" w:sz="4"/>
              <w:right w:val="single" w:color="C5D8EC" w:sz="4"/>
            </w:tcBorders>
            <w:shd w:fill="F8FBFF" w:val="clear"/>
            <w:tcMar>
              <w:top w:type="dxa" w:w="100"/>
              <w:left w:type="dxa" w:w="130"/>
              <w:bottom w:type="dxa" w:w="100"/>
              <w:right w:type="dxa" w:w="130"/>
            </w:tcMar>
          </w:tcPr>
          <w:p>
            <w:pPr>
              <w:spacing w:before="20" w:after="20"/>
            </w:pPr>
            <w:r>
              <w:rPr>
                <w:rFonts w:ascii="Arial" w:cs="Arial" w:eastAsia="Arial" w:hAnsi="Arial"/>
                <w:b/>
                <w:bCs/>
                <w:color w:val="0E7490"/>
                <w:sz w:val="17"/>
                <w:szCs w:val="17"/>
              </w:rPr>
              <w:t xml:space="preserve">Self-Service Product Authoring: </w:t>
            </w:r>
            <w:r>
              <w:rPr>
                <w:rFonts w:ascii="Arial" w:cs="Arial" w:eastAsia="Arial" w:hAnsi="Arial"/>
                <w:sz w:val="17"/>
                <w:szCs w:val="17"/>
              </w:rPr>
              <w:t xml:space="preserve">Domain teams design, certify, and publish data products via guided interfaces — no central engineering dependency, no ticket queues, no sprint backlogs</w:t>
            </w:r>
          </w:p>
          <w:p>
            <w:pPr>
              <w:spacing w:before="20" w:after="20"/>
            </w:pPr>
            <w:r>
              <w:rPr>
                <w:rFonts w:ascii="Arial" w:cs="Arial" w:eastAsia="Arial" w:hAnsi="Arial"/>
                <w:b/>
                <w:bCs/>
                <w:color w:val="0E7490"/>
                <w:sz w:val="17"/>
                <w:szCs w:val="17"/>
              </w:rPr>
              <w:t xml:space="preserve">Semantic-Enabled Definitions: </w:t>
            </w:r>
            <w:r>
              <w:rPr>
                <w:rFonts w:ascii="Arial" w:cs="Arial" w:eastAsia="Arial" w:hAnsi="Arial"/>
                <w:sz w:val="17"/>
                <w:szCs w:val="17"/>
              </w:rPr>
              <w:t xml:space="preserve">Each product carries consistent business meaning, cross-domain discoverability, and context — consumers always know what a product represents and who owns it</w:t>
            </w:r>
          </w:p>
          <w:p>
            <w:pPr>
              <w:spacing w:before="20" w:after="20"/>
            </w:pPr>
            <w:r>
              <w:rPr>
                <w:rFonts w:ascii="Arial" w:cs="Arial" w:eastAsia="Arial" w:hAnsi="Arial"/>
                <w:b/>
                <w:bCs/>
                <w:color w:val="0E7490"/>
                <w:sz w:val="17"/>
                <w:szCs w:val="17"/>
              </w:rPr>
              <w:t xml:space="preserve">Regulatory Controls at Creation: </w:t>
            </w:r>
            <w:r>
              <w:rPr>
                <w:rFonts w:ascii="Arial" w:cs="Arial" w:eastAsia="Arial" w:hAnsi="Arial"/>
                <w:sz w:val="17"/>
                <w:szCs w:val="17"/>
              </w:rPr>
              <w:t xml:space="preserve">GDPR/CCPA compliance, data residency enforcement, entitlement policies, and audit lineage applied automatically at the moment of product publication, not as a downstream review</w:t>
            </w:r>
          </w:p>
        </w:tc>
      </w:tr>
      <w:tr>
        <w:tc>
          <w:tcPr>
            <w:tcW w:type="dxa" w:w="1900"/>
            <w:tcBorders>
              <w:top w:val="single" w:color="C5D8EC" w:sz="4"/>
              <w:left w:val="single" w:color="C5D8EC" w:sz="4"/>
              <w:bottom w:val="single" w:color="C5D8EC" w:sz="4"/>
              <w:right w:val="single" w:color="C5D8EC" w:sz="4"/>
            </w:tcBorders>
            <w:shd w:fill="5B21B6" w:val="clear"/>
            <w:tcMar>
              <w:top w:type="dxa" w:w="110"/>
              <w:left w:type="dxa" w:w="120"/>
              <w:bottom w:type="dxa" w:w="110"/>
              <w:right w:type="dxa" w:w="120"/>
            </w:tcMar>
            <w:vAlign w:val="center"/>
          </w:tcPr>
          <w:p>
            <w:pPr>
              <w:spacing w:before="0" w:after="20"/>
              <w:jc w:val="center"/>
            </w:pPr>
            <w:r>
              <w:rPr>
                <w:rFonts w:ascii="Arial" w:cs="Arial" w:eastAsia="Arial" w:hAnsi="Arial"/>
                <w:b/>
                <w:bCs/>
                <w:color w:val="FFFFFF"/>
                <w:sz w:val="28"/>
                <w:szCs w:val="28"/>
              </w:rPr>
              <w:t xml:space="preserve">L4</w:t>
            </w:r>
          </w:p>
          <w:p>
            <w:pPr>
              <w:spacing w:before="0" w:after="0"/>
              <w:jc w:val="center"/>
            </w:pPr>
            <w:r>
              <w:rPr>
                <w:rFonts w:ascii="Arial" w:cs="Arial" w:eastAsia="Arial" w:hAnsi="Arial"/>
                <w:b/>
                <w:bCs/>
                <w:color w:val="FFFFFF"/>
                <w:sz w:val="16"/>
                <w:szCs w:val="16"/>
              </w:rPr>
              <w:t xml:space="preserve">AI-Enriched
Product Catalog</w:t>
            </w:r>
          </w:p>
        </w:tc>
        <w:tc>
          <w:tcPr>
            <w:tcW w:type="dxa" w:w="7460"/>
            <w:tcBorders>
              <w:top w:val="single" w:color="C5D8EC" w:sz="4"/>
              <w:left w:val="single" w:color="C5D8EC" w:sz="4"/>
              <w:bottom w:val="single" w:color="C5D8EC" w:sz="4"/>
              <w:right w:val="single" w:color="C5D8EC" w:sz="4"/>
            </w:tcBorders>
            <w:shd w:fill="F8FBFF" w:val="clear"/>
            <w:tcMar>
              <w:top w:type="dxa" w:w="100"/>
              <w:left w:type="dxa" w:w="130"/>
              <w:bottom w:type="dxa" w:w="100"/>
              <w:right w:type="dxa" w:w="130"/>
            </w:tcMar>
          </w:tcPr>
          <w:p>
            <w:pPr>
              <w:spacing w:before="20" w:after="20"/>
            </w:pPr>
            <w:r>
              <w:rPr>
                <w:rFonts w:ascii="Arial" w:cs="Arial" w:eastAsia="Arial" w:hAnsi="Arial"/>
                <w:b/>
                <w:bCs/>
                <w:color w:val="5B21B6"/>
                <w:sz w:val="17"/>
                <w:szCs w:val="17"/>
              </w:rPr>
              <w:t xml:space="preserve">Semantic Search: </w:t>
            </w:r>
            <w:r>
              <w:rPr>
                <w:rFonts w:ascii="Arial" w:cs="Arial" w:eastAsia="Arial" w:hAnsi="Arial"/>
                <w:sz w:val="17"/>
                <w:szCs w:val="17"/>
              </w:rPr>
              <w:t xml:space="preserve">Natural language queries against the full catalog via vector embeddings — consumers find data by intent, not by keyword; no catalog knowledge required</w:t>
            </w:r>
          </w:p>
          <w:p>
            <w:pPr>
              <w:spacing w:before="20" w:after="20"/>
            </w:pPr>
            <w:r>
              <w:rPr>
                <w:rFonts w:ascii="Arial" w:cs="Arial" w:eastAsia="Arial" w:hAnsi="Arial"/>
                <w:b/>
                <w:bCs/>
                <w:color w:val="5B21B6"/>
                <w:sz w:val="17"/>
                <w:szCs w:val="17"/>
              </w:rPr>
              <w:t xml:space="preserve">Auto-Tagging: </w:t>
            </w:r>
            <w:r>
              <w:rPr>
                <w:rFonts w:ascii="Arial" w:cs="Arial" w:eastAsia="Arial" w:hAnsi="Arial"/>
                <w:sz w:val="17"/>
                <w:szCs w:val="17"/>
              </w:rPr>
              <w:t xml:space="preserve">AI assigns business, technical, sensitivity, and regulatory tags without manual effort; tags evolve as usage patterns and classifications change</w:t>
            </w:r>
          </w:p>
          <w:p>
            <w:pPr>
              <w:spacing w:before="20" w:after="20"/>
            </w:pPr>
            <w:r>
              <w:rPr>
                <w:rFonts w:ascii="Arial" w:cs="Arial" w:eastAsia="Arial" w:hAnsi="Arial"/>
                <w:b/>
                <w:bCs/>
                <w:color w:val="5B21B6"/>
                <w:sz w:val="17"/>
                <w:szCs w:val="17"/>
              </w:rPr>
              <w:t xml:space="preserve">RAG-Powered Discovery: </w:t>
            </w:r>
            <w:r>
              <w:rPr>
                <w:rFonts w:ascii="Arial" w:cs="Arial" w:eastAsia="Arial" w:hAnsi="Arial"/>
                <w:sz w:val="17"/>
                <w:szCs w:val="17"/>
              </w:rPr>
              <w:t xml:space="preserve">Retrieval-Augmented Generation surfaces contextually relevant data products for any business question, cross-referencing lineage, quality, and access rights in a single response</w:t>
            </w:r>
          </w:p>
          <w:p>
            <w:pPr>
              <w:spacing w:before="20" w:after="20"/>
            </w:pPr>
            <w:r>
              <w:rPr>
                <w:rFonts w:ascii="Arial" w:cs="Arial" w:eastAsia="Arial" w:hAnsi="Arial"/>
                <w:b/>
                <w:bCs/>
                <w:color w:val="5B21B6"/>
                <w:sz w:val="17"/>
                <w:szCs w:val="17"/>
              </w:rPr>
              <w:t xml:space="preserve">Cross-Domain Syntax Analysis: </w:t>
            </w:r>
            <w:r>
              <w:rPr>
                <w:rFonts w:ascii="Arial" w:cs="Arial" w:eastAsia="Arial" w:hAnsi="Arial"/>
                <w:sz w:val="17"/>
                <w:szCs w:val="17"/>
              </w:rPr>
              <w:t xml:space="preserve">Identifies semantic relationships, duplicate concepts, and reuse opportunities across domain and LOB boundaries — reducing redundant data products and surfacing hidden data assets</w:t>
            </w:r>
          </w:p>
        </w:tc>
      </w:tr>
      <w:tr>
        <w:tc>
          <w:tcPr>
            <w:tcW w:type="dxa" w:w="1900"/>
            <w:tcBorders>
              <w:top w:val="single" w:color="C5D8EC" w:sz="4"/>
              <w:left w:val="single" w:color="C5D8EC" w:sz="4"/>
              <w:bottom w:val="single" w:color="C5D8EC" w:sz="4"/>
              <w:right w:val="single" w:color="C5D8EC" w:sz="4"/>
            </w:tcBorders>
            <w:shd w:fill="065F46" w:val="clear"/>
            <w:tcMar>
              <w:top w:type="dxa" w:w="110"/>
              <w:left w:type="dxa" w:w="120"/>
              <w:bottom w:type="dxa" w:w="110"/>
              <w:right w:type="dxa" w:w="120"/>
            </w:tcMar>
            <w:vAlign w:val="center"/>
          </w:tcPr>
          <w:p>
            <w:pPr>
              <w:spacing w:before="0" w:after="20"/>
              <w:jc w:val="center"/>
            </w:pPr>
            <w:r>
              <w:rPr>
                <w:rFonts w:ascii="Arial" w:cs="Arial" w:eastAsia="Arial" w:hAnsi="Arial"/>
                <w:b/>
                <w:bCs/>
                <w:color w:val="FFFFFF"/>
                <w:sz w:val="28"/>
                <w:szCs w:val="28"/>
              </w:rPr>
              <w:t xml:space="preserve">L5</w:t>
            </w:r>
          </w:p>
          <w:p>
            <w:pPr>
              <w:spacing w:before="0" w:after="0"/>
              <w:jc w:val="center"/>
            </w:pPr>
            <w:r>
              <w:rPr>
                <w:rFonts w:ascii="Arial" w:cs="Arial" w:eastAsia="Arial" w:hAnsi="Arial"/>
                <w:b/>
                <w:bCs/>
                <w:color w:val="FFFFFF"/>
                <w:sz w:val="16"/>
                <w:szCs w:val="16"/>
              </w:rPr>
              <w:t xml:space="preserve">Observability &amp;
Self-Healing</w:t>
            </w:r>
          </w:p>
        </w:tc>
        <w:tc>
          <w:tcPr>
            <w:tcW w:type="dxa" w:w="7460"/>
            <w:tcBorders>
              <w:top w:val="single" w:color="C5D8EC" w:sz="4"/>
              <w:left w:val="single" w:color="C5D8EC" w:sz="4"/>
              <w:bottom w:val="single" w:color="C5D8EC" w:sz="4"/>
              <w:right w:val="single" w:color="C5D8EC" w:sz="4"/>
            </w:tcBorders>
            <w:shd w:fill="F8FBFF" w:val="clear"/>
            <w:tcMar>
              <w:top w:type="dxa" w:w="100"/>
              <w:left w:type="dxa" w:w="130"/>
              <w:bottom w:type="dxa" w:w="100"/>
              <w:right w:type="dxa" w:w="130"/>
            </w:tcMar>
          </w:tcPr>
          <w:p>
            <w:pPr>
              <w:spacing w:before="20" w:after="20"/>
            </w:pPr>
            <w:r>
              <w:rPr>
                <w:rFonts w:ascii="Arial" w:cs="Arial" w:eastAsia="Arial" w:hAnsi="Arial"/>
                <w:b/>
                <w:bCs/>
                <w:color w:val="065F46"/>
                <w:sz w:val="17"/>
                <w:szCs w:val="17"/>
              </w:rPr>
              <w:t xml:space="preserve">End-to-End Pipeline Observability: </w:t>
            </w:r>
            <w:r>
              <w:rPr>
                <w:rFonts w:ascii="Arial" w:cs="Arial" w:eastAsia="Arial" w:hAnsi="Arial"/>
                <w:sz w:val="17"/>
                <w:szCs w:val="17"/>
              </w:rPr>
              <w:t xml:space="preserve">Real-time health scoring, SLA tracking, and anomaly alerting across all 247 active pipelines — single pane of glass for platform and engineering leadership</w:t>
            </w:r>
          </w:p>
          <w:p>
            <w:pPr>
              <w:spacing w:before="20" w:after="20"/>
            </w:pPr>
            <w:r>
              <w:rPr>
                <w:rFonts w:ascii="Arial" w:cs="Arial" w:eastAsia="Arial" w:hAnsi="Arial"/>
                <w:b/>
                <w:bCs/>
                <w:color w:val="065F46"/>
                <w:sz w:val="17"/>
                <w:szCs w:val="17"/>
              </w:rPr>
              <w:t xml:space="preserve">Self-Healing Orchestration: </w:t>
            </w:r>
            <w:r>
              <w:rPr>
                <w:rFonts w:ascii="Arial" w:cs="Arial" w:eastAsia="Arial" w:hAnsi="Arial"/>
                <w:sz w:val="17"/>
                <w:szCs w:val="17"/>
              </w:rPr>
              <w:t xml:space="preserve">Root-cause detection and automated patch application resolve the majority of failures without human escalation; engineers are notified only for Tier-1 architectural changes</w:t>
            </w:r>
          </w:p>
          <w:p>
            <w:pPr>
              <w:spacing w:before="20" w:after="20"/>
            </w:pPr>
            <w:r>
              <w:rPr>
                <w:rFonts w:ascii="Arial" w:cs="Arial" w:eastAsia="Arial" w:hAnsi="Arial"/>
                <w:b/>
                <w:bCs/>
                <w:color w:val="065F46"/>
                <w:sz w:val="17"/>
                <w:szCs w:val="17"/>
              </w:rPr>
              <w:t xml:space="preserve">Circuit Breaker Pattern: </w:t>
            </w:r>
            <w:r>
              <w:rPr>
                <w:rFonts w:ascii="Arial" w:cs="Arial" w:eastAsia="Arial" w:hAnsi="Arial"/>
                <w:sz w:val="17"/>
                <w:szCs w:val="17"/>
              </w:rPr>
              <w:t xml:space="preserve">Automatically halts data flow the instant an anomaly exceeds threshold; learns from each incident and embeds the pattern into future anomaly models, reducing false positives over time</w:t>
            </w:r>
          </w:p>
          <w:p>
            <w:pPr>
              <w:spacing w:before="20" w:after="20"/>
            </w:pPr>
            <w:r>
              <w:rPr>
                <w:rFonts w:ascii="Arial" w:cs="Arial" w:eastAsia="Arial" w:hAnsi="Arial"/>
                <w:b/>
                <w:bCs/>
                <w:color w:val="065F46"/>
                <w:sz w:val="17"/>
                <w:szCs w:val="17"/>
              </w:rPr>
              <w:t xml:space="preserve">Ethics &amp; Bias Monitoring: </w:t>
            </w:r>
            <w:r>
              <w:rPr>
                <w:rFonts w:ascii="Arial" w:cs="Arial" w:eastAsia="Arial" w:hAnsi="Arial"/>
                <w:sz w:val="17"/>
                <w:szCs w:val="17"/>
              </w:rPr>
              <w:t xml:space="preserve">Continuous drift detection on training sets and deployed model outputs; flags demographic skew and distributional shift before it reaches production decisions</w:t>
            </w:r>
          </w:p>
        </w:tc>
      </w:tr>
    </w:tbl>
    <w:p>
      <w:pPr>
        <w:spacing w:before="0" w:after="70"/>
      </w:pPr>
    </w:p>
    <w:p>
      <w:pPr>
        <w:spacing w:before="140" w:after="45"/>
      </w:pPr>
      <w:r>
        <w:rPr>
          <w:rFonts w:ascii="Arial" w:cs="Arial" w:eastAsia="Arial" w:hAnsi="Arial"/>
          <w:b/>
          <w:bCs/>
          <w:color w:val="0E7490"/>
          <w:sz w:val="20"/>
          <w:szCs w:val="20"/>
        </w:rPr>
        <w:t xml:space="preserve">Architectural Principles</w:t>
      </w:r>
    </w:p>
    <w:p>
      <w:pPr>
        <w:pStyle w:val="ListParagraph"/>
        <w:numPr>
          <w:ilvl w:val="0"/>
          <w:numId w:val="2"/>
        </w:numPr>
        <w:spacing w:before="35" w:after="35"/>
      </w:pPr>
      <w:r>
        <w:rPr>
          <w:rFonts w:ascii="Arial" w:cs="Arial" w:eastAsia="Arial" w:hAnsi="Arial"/>
          <w:b/>
          <w:bCs/>
          <w:color w:val="1A3A5C"/>
          <w:sz w:val="19"/>
          <w:szCs w:val="19"/>
        </w:rPr>
        <w:t xml:space="preserve">Agent-First Orchestration: </w:t>
      </w:r>
      <w:r>
        <w:rPr>
          <w:rFonts w:ascii="Arial" w:cs="Arial" w:eastAsia="Arial" w:hAnsi="Arial"/>
          <w:sz w:val="19"/>
          <w:szCs w:val="19"/>
        </w:rPr>
        <w:t xml:space="preserve">All platform operations are orchestrated by purpose-built AI agents — stateful, auditable, and capable of multi-step reasoning. Human intervention is an escalation path, not the default workflow.</w:t>
      </w:r>
    </w:p>
    <w:p>
      <w:pPr>
        <w:pStyle w:val="ListParagraph"/>
        <w:numPr>
          <w:ilvl w:val="0"/>
          <w:numId w:val="2"/>
        </w:numPr>
        <w:spacing w:before="35" w:after="35"/>
      </w:pPr>
      <w:r>
        <w:rPr>
          <w:rFonts w:ascii="Arial" w:cs="Arial" w:eastAsia="Arial" w:hAnsi="Arial"/>
          <w:b/>
          <w:bCs/>
          <w:color w:val="1A3A5C"/>
          <w:sz w:val="19"/>
          <w:szCs w:val="19"/>
        </w:rPr>
        <w:t xml:space="preserve">Semantic-Centre Design: </w:t>
      </w:r>
      <w:r>
        <w:rPr>
          <w:rFonts w:ascii="Arial" w:cs="Arial" w:eastAsia="Arial" w:hAnsi="Arial"/>
          <w:sz w:val="19"/>
          <w:szCs w:val="19"/>
        </w:rPr>
        <w:t xml:space="preserve">A unified semantic layer backed by a vector-native knowledge graph sits at the architectural core. Every data product carries consistent meaning and discoverability regardless of the underlying storage technology.</w:t>
      </w:r>
    </w:p>
    <w:p>
      <w:pPr>
        <w:pStyle w:val="ListParagraph"/>
        <w:numPr>
          <w:ilvl w:val="0"/>
          <w:numId w:val="2"/>
        </w:numPr>
        <w:spacing w:before="35" w:after="35"/>
      </w:pPr>
      <w:r>
        <w:rPr>
          <w:rFonts w:ascii="Arial" w:cs="Arial" w:eastAsia="Arial" w:hAnsi="Arial"/>
          <w:b/>
          <w:bCs/>
          <w:color w:val="1A3A5C"/>
          <w:sz w:val="19"/>
          <w:szCs w:val="19"/>
        </w:rPr>
        <w:t xml:space="preserve">Open-by-Default Integration: </w:t>
      </w:r>
      <w:r>
        <w:rPr>
          <w:rFonts w:ascii="Arial" w:cs="Arial" w:eastAsia="Arial" w:hAnsi="Arial"/>
          <w:sz w:val="19"/>
          <w:szCs w:val="19"/>
        </w:rPr>
        <w:t xml:space="preserve">Open APIs and pluggable connectors for every major data and AI ecosystem component. No proprietary wire formats. The architecture evolves with the industry.</w:t>
      </w:r>
    </w:p>
    <w:p>
      <w:pPr>
        <w:spacing w:before="75" w:after="60"/>
      </w:pPr>
      <w:r>
        <w:rPr>
          <w:rFonts w:ascii="Arial" w:cs="Arial" w:eastAsia="Arial" w:hAnsi="Arial"/>
          <w:sz w:val="19"/>
          <w:szCs w:val="19"/>
        </w:rPr>
        <w:t xml:space="preserve">Current platform indicators: 247 active pipelines  ·  284 registered sources  ·  94.2% data quality  ·  38 active agents  ·  Web + iOS interfaces in production.</w:t>
      </w:r>
    </w:p>
    <w:p>
      <w:pPr>
        <w:pBdr>
          <w:bottom w:val="single" w:color="0D5FAA" w:sz="10" w:space="5"/>
        </w:pBdr>
        <w:spacing w:before="220" w:after="80"/>
      </w:pPr>
      <w:r>
        <w:rPr>
          <w:rFonts w:ascii="Arial" w:cs="Arial" w:eastAsia="Arial" w:hAnsi="Arial"/>
          <w:b/>
          <w:bCs/>
          <w:color w:val="1A3A5C"/>
          <w:sz w:val="27"/>
          <w:szCs w:val="27"/>
        </w:rPr>
        <w:t xml:space="preserve">6.   What Needs to Pivot</w:t>
      </w:r>
    </w:p>
    <w:p>
      <w:pPr>
        <w:spacing w:before="140" w:after="45"/>
      </w:pPr>
      <w:r>
        <w:rPr>
          <w:rFonts w:ascii="Arial" w:cs="Arial" w:eastAsia="Arial" w:hAnsi="Arial"/>
          <w:b/>
          <w:bCs/>
          <w:color w:val="0E7490"/>
          <w:sz w:val="20"/>
          <w:szCs w:val="20"/>
        </w:rPr>
        <w:t xml:space="preserve">Dependency Risks</w:t>
      </w:r>
    </w:p>
    <w:p>
      <w:pPr>
        <w:pStyle w:val="ListParagraph"/>
        <w:numPr>
          <w:ilvl w:val="0"/>
          <w:numId w:val="2"/>
        </w:numPr>
        <w:spacing w:before="35" w:after="35"/>
      </w:pPr>
      <w:r>
        <w:rPr>
          <w:rFonts w:ascii="Arial" w:cs="Arial" w:eastAsia="Arial" w:hAnsi="Arial"/>
          <w:b/>
          <w:bCs/>
          <w:color w:val="1A3A5C"/>
          <w:sz w:val="19"/>
          <w:szCs w:val="19"/>
        </w:rPr>
        <w:t xml:space="preserve">Vendor Landscape Velocity &amp; Stability: </w:t>
      </w:r>
      <w:r>
        <w:rPr>
          <w:rFonts w:ascii="Arial" w:cs="Arial" w:eastAsia="Arial" w:hAnsi="Arial"/>
          <w:sz w:val="19"/>
          <w:szCs w:val="19"/>
        </w:rPr>
        <w:t xml:space="preserve">The AI tooling and LLM ecosystem is evolving at a pace that outstrips traditional procurement cycles. No single provider should exceed 30% of any critical capability; all Tier-1 integrations must carry documented substitution paths reviewed quarterly.</w:t>
      </w:r>
    </w:p>
    <w:p>
      <w:pPr>
        <w:pStyle w:val="ListParagraph"/>
        <w:numPr>
          <w:ilvl w:val="0"/>
          <w:numId w:val="2"/>
        </w:numPr>
        <w:spacing w:before="35" w:after="35"/>
      </w:pPr>
      <w:r>
        <w:rPr>
          <w:rFonts w:ascii="Arial" w:cs="Arial" w:eastAsia="Arial" w:hAnsi="Arial"/>
          <w:b/>
          <w:bCs/>
          <w:color w:val="1A3A5C"/>
          <w:sz w:val="19"/>
          <w:szCs w:val="19"/>
        </w:rPr>
        <w:t xml:space="preserve">API Credential Governance: </w:t>
      </w:r>
      <w:r>
        <w:rPr>
          <w:rFonts w:ascii="Arial" w:cs="Arial" w:eastAsia="Arial" w:hAnsi="Arial"/>
          <w:sz w:val="19"/>
          <w:szCs w:val="19"/>
        </w:rPr>
        <w:t xml:space="preserve">Individual users currently supply their own AI provider credentials. The planned authentication layer will introduce a backend proxy, enabling organisational rate-limiting, cost attribution, and credential rotation without client-side changes.</w:t>
      </w:r>
    </w:p>
    <w:p>
      <w:pPr>
        <w:spacing w:before="140" w:after="45"/>
      </w:pPr>
      <w:r>
        <w:rPr>
          <w:rFonts w:ascii="Arial" w:cs="Arial" w:eastAsia="Arial" w:hAnsi="Arial"/>
          <w:b/>
          <w:bCs/>
          <w:color w:val="0E7490"/>
          <w:sz w:val="20"/>
          <w:szCs w:val="20"/>
        </w:rPr>
        <w:t xml:space="preserve">Business Risks</w:t>
      </w:r>
    </w:p>
    <w:p>
      <w:pPr>
        <w:pStyle w:val="ListParagraph"/>
        <w:numPr>
          <w:ilvl w:val="0"/>
          <w:numId w:val="2"/>
        </w:numPr>
        <w:spacing w:before="35" w:after="35"/>
      </w:pPr>
      <w:r>
        <w:rPr>
          <w:rFonts w:ascii="Arial" w:cs="Arial" w:eastAsia="Arial" w:hAnsi="Arial"/>
          <w:b/>
          <w:bCs/>
          <w:color w:val="1A3A5C"/>
          <w:sz w:val="19"/>
          <w:szCs w:val="19"/>
        </w:rPr>
        <w:t xml:space="preserve">Adoption Without Governance Maturity: </w:t>
      </w:r>
      <w:r>
        <w:rPr>
          <w:rFonts w:ascii="Arial" w:cs="Arial" w:eastAsia="Arial" w:hAnsi="Arial"/>
          <w:sz w:val="19"/>
          <w:szCs w:val="19"/>
        </w:rPr>
        <w:t xml:space="preserve">Agentic automation that outpaces governance readiness creates silent risk. The human-in-the-loop approval framework must be enforced for all Tier-1 data actions until automated trust thresholds are formally ratified.</w:t>
      </w:r>
    </w:p>
    <w:p>
      <w:pPr>
        <w:pStyle w:val="ListParagraph"/>
        <w:numPr>
          <w:ilvl w:val="0"/>
          <w:numId w:val="2"/>
        </w:numPr>
        <w:spacing w:before="35" w:after="35"/>
      </w:pPr>
      <w:r>
        <w:rPr>
          <w:rFonts w:ascii="Arial" w:cs="Arial" w:eastAsia="Arial" w:hAnsi="Arial"/>
          <w:b/>
          <w:bCs/>
          <w:color w:val="1A3A5C"/>
          <w:sz w:val="19"/>
          <w:szCs w:val="19"/>
        </w:rPr>
        <w:t xml:space="preserve">Skill Transition Gap: </w:t>
      </w:r>
      <w:r>
        <w:rPr>
          <w:rFonts w:ascii="Arial" w:cs="Arial" w:eastAsia="Arial" w:hAnsi="Arial"/>
          <w:sz w:val="19"/>
          <w:szCs w:val="19"/>
        </w:rPr>
        <w:t xml:space="preserve">The shift from manual pipeline engineering to agentic orchestration requires parallel investment in team capability. Structured onboarding is essential for engineers, platform owners, and domain stewards to supervise autonomous agents effectively.</w:t>
      </w:r>
    </w:p>
    <w:p>
      <w:pPr>
        <w:pStyle w:val="ListParagraph"/>
        <w:numPr>
          <w:ilvl w:val="0"/>
          <w:numId w:val="2"/>
        </w:numPr>
        <w:spacing w:before="35" w:after="35"/>
      </w:pPr>
      <w:r>
        <w:rPr>
          <w:rFonts w:ascii="Arial" w:cs="Arial" w:eastAsia="Arial" w:hAnsi="Arial"/>
          <w:b/>
          <w:bCs/>
          <w:color w:val="1A3A5C"/>
          <w:sz w:val="19"/>
          <w:szCs w:val="19"/>
        </w:rPr>
        <w:t xml:space="preserve">Roadmap Sequencing: </w:t>
      </w:r>
      <w:r>
        <w:rPr>
          <w:rFonts w:ascii="Arial" w:cs="Arial" w:eastAsia="Arial" w:hAnsi="Arial"/>
          <w:sz w:val="19"/>
          <w:szCs w:val="19"/>
        </w:rPr>
        <w:t xml:space="preserve">User authentication, registration, and backend API proxy are on the critical path. Delaying them extends credential exposure and defers enterprise-scale deployment.</w:t>
      </w:r>
    </w:p>
    <w:p>
      <w:pPr>
        <w:spacing w:before="0" w:after="70"/>
      </w:pPr>
    </w:p>
    <w:p>
      <w:pPr>
        <w:pBdr>
          <w:top w:val="single" w:color="0D5FAA" w:sz="10" w:space="5"/>
          <w:bottom w:val="single" w:color="DDDDDD" w:sz="2" w:space="4"/>
        </w:pBdr>
        <w:spacing w:before="90" w:after="65"/>
      </w:pPr>
      <w:r>
        <w:rPr>
          <w:rFonts w:ascii="Arial" w:cs="Arial" w:eastAsia="Arial" w:hAnsi="Arial"/>
          <w:b/>
          <w:bCs/>
          <w:color w:val="1A3A5C"/>
          <w:sz w:val="21"/>
          <w:szCs w:val="21"/>
        </w:rPr>
        <w:t xml:space="preserve">Recommended Next Steps for Leadership</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000"/>
      </w:tblGrid>
      <w:tr>
        <w:tc>
          <w:tcPr>
            <w:tcW w:type="dxa" w:w="144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Priority</w:t>
            </w:r>
          </w:p>
        </w:tc>
        <w:tc>
          <w:tcPr>
            <w:tcW w:type="dxa" w:w="576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Action</w:t>
            </w:r>
          </w:p>
        </w:tc>
        <w:tc>
          <w:tcPr>
            <w:tcW w:type="dxa" w:w="2000"/>
            <w:tcBorders>
              <w:top w:val="single" w:color="C5D8EC" w:sz="4"/>
              <w:left w:val="single" w:color="C5D8EC" w:sz="4"/>
              <w:bottom w:val="single" w:color="C5D8EC" w:sz="4"/>
              <w:right w:val="single" w:color="C5D8EC" w:sz="4"/>
            </w:tcBorders>
            <w:shd w:fill="1A3A5C" w:val="clear"/>
            <w:tcMar>
              <w:top w:type="dxa" w:w="75"/>
              <w:left w:type="dxa" w:w="110"/>
              <w:bottom w:type="dxa" w:w="75"/>
              <w:right w:type="dxa" w:w="110"/>
            </w:tcMar>
          </w:tcPr>
          <w:p>
            <w:r>
              <w:rPr>
                <w:rFonts w:ascii="Arial" w:cs="Arial" w:eastAsia="Arial" w:hAnsi="Arial"/>
                <w:b/>
                <w:bCs/>
                <w:color w:val="FFFFFF"/>
                <w:sz w:val="17"/>
                <w:szCs w:val="17"/>
              </w:rPr>
              <w:t xml:space="preserve">Owner</w:t>
            </w:r>
          </w:p>
        </w:tc>
      </w:tr>
      <w:tr>
        <w:tc>
          <w:tcPr>
            <w:tcW w:type="dxa" w:w="144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b/>
                <w:bCs/>
                <w:color w:val="1A3A5C"/>
                <w:sz w:val="17"/>
                <w:szCs w:val="17"/>
              </w:rPr>
              <w:t xml:space="preserve">P1 — Now</w:t>
            </w:r>
          </w:p>
        </w:tc>
        <w:tc>
          <w:tcPr>
            <w:tcW w:type="dxa" w:w="592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Approve user registration &amp; authentication with backend AI provider proxy</w:t>
            </w:r>
          </w:p>
        </w:tc>
        <w:tc>
          <w:tcPr>
            <w:tcW w:type="dxa" w:w="200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CTO / Eng. Lead</w:t>
            </w:r>
          </w:p>
        </w:tc>
      </w:tr>
      <w:tr>
        <w:tc>
          <w:tcPr>
            <w:tcW w:type="dxa" w:w="144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b/>
                <w:bCs/>
                <w:color w:val="1A3A5C"/>
                <w:sz w:val="17"/>
                <w:szCs w:val="17"/>
              </w:rPr>
              <w:t xml:space="preserve">P1 — Now</w:t>
            </w:r>
          </w:p>
        </w:tc>
        <w:tc>
          <w:tcPr>
            <w:tcW w:type="dxa" w:w="592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sz w:val="17"/>
                <w:szCs w:val="17"/>
              </w:rPr>
              <w:t xml:space="preserve">Ratify the four Core Tenet groups as the platform’s governing design principles</w:t>
            </w:r>
          </w:p>
        </w:tc>
        <w:tc>
          <w:tcPr>
            <w:tcW w:type="dxa" w:w="200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sz w:val="17"/>
                <w:szCs w:val="17"/>
              </w:rPr>
              <w:t xml:space="preserve">CIO / Data Strategy</w:t>
            </w:r>
          </w:p>
        </w:tc>
      </w:tr>
      <w:tr>
        <w:tc>
          <w:tcPr>
            <w:tcW w:type="dxa" w:w="144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b/>
                <w:bCs/>
                <w:color w:val="1A3A5C"/>
                <w:sz w:val="17"/>
                <w:szCs w:val="17"/>
              </w:rPr>
              <w:t xml:space="preserve">P2 — 30 Days</w:t>
            </w:r>
          </w:p>
        </w:tc>
        <w:tc>
          <w:tcPr>
            <w:tcW w:type="dxa" w:w="592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Define Tier-1 action thresholds for human-in-the-loop governance enforcement</w:t>
            </w:r>
          </w:p>
        </w:tc>
        <w:tc>
          <w:tcPr>
            <w:tcW w:type="dxa" w:w="200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CIO / Governance</w:t>
            </w:r>
          </w:p>
        </w:tc>
      </w:tr>
      <w:tr>
        <w:tc>
          <w:tcPr>
            <w:tcW w:type="dxa" w:w="144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b/>
                <w:bCs/>
                <w:color w:val="1A3A5C"/>
                <w:sz w:val="17"/>
                <w:szCs w:val="17"/>
              </w:rPr>
              <w:t xml:space="preserve">P2 — 30 Days</w:t>
            </w:r>
          </w:p>
        </w:tc>
        <w:tc>
          <w:tcPr>
            <w:tcW w:type="dxa" w:w="592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sz w:val="17"/>
                <w:szCs w:val="17"/>
              </w:rPr>
              <w:t xml:space="preserve">Conduct vendor dependency audit; document substitution paths for all Tier-1 integrations</w:t>
            </w:r>
          </w:p>
        </w:tc>
        <w:tc>
          <w:tcPr>
            <w:tcW w:type="dxa" w:w="2000"/>
            <w:tcBorders>
              <w:top w:val="single" w:color="C5D8EC" w:sz="4"/>
              <w:left w:val="single" w:color="C5D8EC" w:sz="4"/>
              <w:bottom w:val="single" w:color="C5D8EC" w:sz="4"/>
              <w:right w:val="single" w:color="C5D8EC" w:sz="4"/>
            </w:tcBorders>
            <w:shd w:fill="FFFFFF" w:val="clear"/>
            <w:tcMar>
              <w:top w:type="dxa" w:w="70"/>
              <w:left w:type="dxa" w:w="100"/>
              <w:bottom w:type="dxa" w:w="70"/>
              <w:right w:type="dxa" w:w="100"/>
            </w:tcMar>
          </w:tcPr>
          <w:p>
            <w:r>
              <w:rPr>
                <w:rFonts w:ascii="Arial" w:cs="Arial" w:eastAsia="Arial" w:hAnsi="Arial"/>
                <w:sz w:val="17"/>
                <w:szCs w:val="17"/>
              </w:rPr>
              <w:t xml:space="preserve">CTO / Architecture</w:t>
            </w:r>
          </w:p>
        </w:tc>
      </w:tr>
      <w:tr>
        <w:tc>
          <w:tcPr>
            <w:tcW w:type="dxa" w:w="144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b/>
                <w:bCs/>
                <w:color w:val="1A3A5C"/>
                <w:sz w:val="17"/>
                <w:szCs w:val="17"/>
              </w:rPr>
              <w:t xml:space="preserve">P3 — 60 Days</w:t>
            </w:r>
          </w:p>
        </w:tc>
        <w:tc>
          <w:tcPr>
            <w:tcW w:type="dxa" w:w="592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Launch structured onboarding programme for engineering, platform, and domain teams</w:t>
            </w:r>
          </w:p>
        </w:tc>
        <w:tc>
          <w:tcPr>
            <w:tcW w:type="dxa" w:w="2000"/>
            <w:tcBorders>
              <w:top w:val="single" w:color="C5D8EC" w:sz="4"/>
              <w:left w:val="single" w:color="C5D8EC" w:sz="4"/>
              <w:bottom w:val="single" w:color="C5D8EC" w:sz="4"/>
              <w:right w:val="single" w:color="C5D8EC" w:sz="4"/>
            </w:tcBorders>
            <w:shd w:fill="E8F3FC" w:val="clear"/>
            <w:tcMar>
              <w:top w:type="dxa" w:w="70"/>
              <w:left w:type="dxa" w:w="100"/>
              <w:bottom w:type="dxa" w:w="70"/>
              <w:right w:type="dxa" w:w="100"/>
            </w:tcMar>
          </w:tcPr>
          <w:p>
            <w:r>
              <w:rPr>
                <w:rFonts w:ascii="Arial" w:cs="Arial" w:eastAsia="Arial" w:hAnsi="Arial"/>
                <w:sz w:val="17"/>
                <w:szCs w:val="17"/>
              </w:rPr>
              <w:t xml:space="preserve">CIO / Transformation</w:t>
            </w:r>
          </w:p>
        </w:tc>
      </w:tr>
    </w:tbl>
    <w:p>
      <w:pPr>
        <w:spacing w:before="0" w:after="90"/>
      </w:pPr>
    </w:p>
    <w:p>
      <w:pPr>
        <w:spacing w:before="0" w:after="0"/>
      </w:pPr>
      <w:r>
        <w:rPr>
          <w:rFonts w:ascii="Arial" w:cs="Arial" w:eastAsia="Arial" w:hAnsi="Arial"/>
          <w:i/>
          <w:iCs/>
          <w:color w:val="999999"/>
          <w:sz w:val="15"/>
          <w:szCs w:val="15"/>
        </w:rPr>
        <w:t xml:space="preserve">This document is prepared for executive review and decision-making. It does not constitute a final architecture specification, vendor commitment, or investment obligation.</w:t>
      </w:r>
    </w:p>
    <w:sectPr>
      <w:headerReference w:type="default" r:id="rId6"/>
      <w:footerReference w:type="default" r:id="rId7"/>
      <w:pgSz w:w="12240" w:h="15840" w:orient="portrait"/>
      <w:pgMar w:top="90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5"/>
        <w:szCs w:val="15"/>
      </w:rPr>
      <w:t xml:space="preserve">AI-Native Agentic Data Strategy  |  CIO/CTO Executive Brief  |  March 2026</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5"/>
        <w:szCs w:val="15"/>
      </w:rPr>
      <w:t xml:space="preserve">AgenticDT — AI-Native Agentic Data Platform</w:t>
    </w:r>
    <w:r>
      <w:rPr>
        <w:rFonts w:ascii="Arial" w:cs="Arial" w:eastAsia="Arial" w:hAnsi="Arial"/>
        <w:sz w:val="15"/>
        <w:szCs w:val="15"/>
      </w:rPr>
      <w:t xml:space="preserve">	</w:t>
    </w:r>
    <w:r>
      <w:rPr>
        <w:rFonts w:ascii="Arial" w:cs="Arial" w:eastAsia="Arial" w:hAnsi="Arial"/>
        <w:b/>
        <w:bCs/>
        <w:color w:val="C00000"/>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2026-03-10T19:04:57.424Z</dcterms:created>
  <dcterms:modified xsi:type="dcterms:W3CDTF">2026-03-10T19:04:57.424Z</dcterms:modified>
</cp:coreProperties>
</file>

<file path=docProps/custom.xml><?xml version="1.0" encoding="utf-8"?>
<Properties xmlns="http://schemas.openxmlformats.org/officeDocument/2006/custom-properties" xmlns:vt="http://schemas.openxmlformats.org/officeDocument/2006/docPropsVTypes"/>
</file>