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9C45076" wp14:paraId="5267CE3A" wp14:textId="53486636">
      <w:pPr>
        <w:widowControl w:val="0"/>
        <w:spacing w:before="0" w:beforeAutospacing="off" w:after="0" w:afterAutospacing="off" w:line="480" w:lineRule="auto"/>
        <w:ind w:left="1260" w:firstLine="420"/>
        <w:jc w:val="left"/>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pPr>
    </w:p>
    <w:p xmlns:wp14="http://schemas.microsoft.com/office/word/2010/wordml" w:rsidP="19C45076" wp14:paraId="6A54F17A" wp14:textId="29704F90">
      <w:pPr>
        <w:widowControl w:val="0"/>
        <w:spacing w:before="0" w:beforeAutospacing="off" w:after="0" w:afterAutospacing="off" w:line="480" w:lineRule="auto"/>
        <w:ind w:left="1260" w:firstLine="420"/>
        <w:jc w:val="left"/>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pPr>
    </w:p>
    <w:p xmlns:wp14="http://schemas.microsoft.com/office/word/2010/wordml" w:rsidP="19C45076" wp14:paraId="7D44D735" wp14:textId="4CE62086">
      <w:pPr>
        <w:pStyle w:val="Normal"/>
        <w:widowControl w:val="0"/>
        <w:spacing w:before="0" w:beforeAutospacing="off" w:after="0" w:afterAutospacing="off" w:line="480" w:lineRule="auto"/>
        <w:ind w:left="1260" w:firstLine="420"/>
        <w:jc w:val="left"/>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pPr>
    </w:p>
    <w:p xmlns:wp14="http://schemas.microsoft.com/office/word/2010/wordml" w:rsidP="19C45076" wp14:paraId="150C442B" wp14:textId="406344D2">
      <w:pPr>
        <w:pStyle w:val="Normal"/>
        <w:widowControl w:val="0"/>
        <w:spacing w:before="0" w:beforeAutospacing="off" w:after="0" w:afterAutospacing="off" w:line="480" w:lineRule="auto"/>
        <w:ind w:lef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9C45076" w:rsidR="2819998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COVID-19 and AI-Adopting Firms: </w:t>
      </w:r>
      <w:r w:rsidRPr="19C45076" w:rsidR="2819998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A Comparative Study of Stock Performance in </w:t>
      </w:r>
      <w:r w:rsidRPr="19C45076" w:rsidR="2819998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Large vs. Small Cap Companies</w:t>
      </w:r>
    </w:p>
    <w:p xmlns:wp14="http://schemas.microsoft.com/office/word/2010/wordml" w:rsidP="19C45076" wp14:paraId="74C99EDA" wp14:textId="3673FB92">
      <w:pPr>
        <w:widowControl w:val="0"/>
        <w:spacing w:before="0" w:beforeAutospacing="off" w:after="0" w:afterAutospacing="off" w:line="480" w:lineRule="auto"/>
        <w:ind w:left="1260" w:firstLine="4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19C45076" wp14:paraId="0D37016D" wp14:textId="3F26F704">
      <w:pPr>
        <w:widowControl w:val="0"/>
        <w:spacing w:before="0" w:beforeAutospacing="off" w:after="0" w:afterAutospacing="off" w:line="480" w:lineRule="auto"/>
        <w:ind w:left="1260" w:firstLine="420"/>
        <w:jc w:val="left"/>
      </w:pPr>
    </w:p>
    <w:p xmlns:wp14="http://schemas.microsoft.com/office/word/2010/wordml" w:rsidP="19C45076" wp14:paraId="6D46BC5F" wp14:textId="173B338F">
      <w:pPr>
        <w:pStyle w:val="Normal"/>
        <w:widowControl w:val="0"/>
        <w:spacing w:before="0" w:beforeAutospacing="off" w:after="0" w:afterAutospacing="off" w:line="480" w:lineRule="auto"/>
        <w:ind w:lef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C45076" w:rsidR="281999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w:t>
      </w:r>
    </w:p>
    <w:p xmlns:wp14="http://schemas.microsoft.com/office/word/2010/wordml" w:rsidP="19C45076" wp14:paraId="5B90DEDB" wp14:textId="126322AD">
      <w:pPr>
        <w:widowControl w:val="0"/>
        <w:spacing w:before="0" w:beforeAutospacing="off" w:after="0" w:afterAutospacing="off" w:line="480" w:lineRule="auto"/>
        <w:ind w:lef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zh-CN"/>
        </w:rPr>
      </w:pPr>
      <w:r w:rsidRPr="19C45076" w:rsidR="281999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zh-CN"/>
        </w:rPr>
        <w:t>Abhik Shrestha, Anisha Choudhury, Chen Yu, and Gavin Shang</w:t>
      </w:r>
    </w:p>
    <w:p xmlns:wp14="http://schemas.microsoft.com/office/word/2010/wordml" w:rsidP="19C45076" wp14:paraId="3977096C" wp14:textId="46018218">
      <w:pPr>
        <w:widowControl w:val="0"/>
        <w:spacing w:before="0" w:beforeAutospacing="off" w:after="0" w:afterAutospacing="off" w:line="480" w:lineRule="auto"/>
        <w:ind w:left="42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zh-CN"/>
        </w:rPr>
      </w:pPr>
    </w:p>
    <w:p xmlns:wp14="http://schemas.microsoft.com/office/word/2010/wordml" w:rsidP="19C45076" wp14:paraId="5A0AA663" wp14:textId="23956931">
      <w:pPr>
        <w:widowControl w:val="0"/>
        <w:spacing w:before="0" w:beforeAutospacing="off" w:after="0" w:afterAutospacing="off" w:line="480" w:lineRule="auto"/>
        <w:ind w:left="420" w:firstLine="4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zh-CN"/>
        </w:rPr>
      </w:pPr>
    </w:p>
    <w:p xmlns:wp14="http://schemas.microsoft.com/office/word/2010/wordml" w:rsidP="19C45076" wp14:paraId="1DC671B8" wp14:textId="01CA8CB8">
      <w:pPr>
        <w:widowControl w:val="0"/>
        <w:spacing w:before="0" w:beforeAutospacing="off" w:after="0" w:afterAutospacing="off" w:line="480" w:lineRule="auto"/>
        <w:ind w:left="420" w:firstLine="4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zh-CN"/>
        </w:rPr>
      </w:pPr>
    </w:p>
    <w:p xmlns:wp14="http://schemas.microsoft.com/office/word/2010/wordml" w:rsidP="19C45076" wp14:paraId="53104BEE" wp14:textId="15ED0649">
      <w:pPr>
        <w:pStyle w:val="Normal"/>
        <w:widowControl w:val="0"/>
        <w:spacing w:before="0" w:beforeAutospacing="off" w:after="0" w:afterAutospacing="off"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zh-CN"/>
        </w:rPr>
      </w:pPr>
    </w:p>
    <w:p xmlns:wp14="http://schemas.microsoft.com/office/word/2010/wordml" w:rsidP="19C45076" wp14:paraId="6C0A2624" wp14:textId="71F8CB48">
      <w:pPr>
        <w:pStyle w:val="Normal"/>
        <w:widowControl w:val="0"/>
        <w:spacing w:before="0" w:beforeAutospacing="off" w:after="0" w:afterAutospacing="off" w:line="480" w:lineRule="auto"/>
        <w:ind w:left="420" w:firstLine="420"/>
        <w:jc w:val="left"/>
      </w:pPr>
    </w:p>
    <w:p xmlns:wp14="http://schemas.microsoft.com/office/word/2010/wordml" w:rsidP="19C45076" wp14:paraId="7ABE8657" wp14:textId="33536881">
      <w:pPr>
        <w:pStyle w:val="Normal"/>
        <w:widowControl w:val="0"/>
        <w:spacing w:before="0" w:beforeAutospacing="off" w:after="0" w:afterAutospacing="off" w:line="480" w:lineRule="auto"/>
        <w:ind w:lef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zh-CN"/>
        </w:rPr>
      </w:pPr>
      <w:r w:rsidRPr="19C45076" w:rsidR="281999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zh-CN"/>
        </w:rPr>
        <w:t>ECON-314 Empirical Finance</w:t>
      </w:r>
    </w:p>
    <w:p xmlns:wp14="http://schemas.microsoft.com/office/word/2010/wordml" w:rsidP="19C45076" wp14:paraId="695831CD" wp14:textId="0777DC97">
      <w:pPr>
        <w:widowControl w:val="0"/>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zh-CN"/>
        </w:rPr>
      </w:pPr>
      <w:r w:rsidRPr="19C45076" w:rsidR="281999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zh-CN"/>
        </w:rPr>
        <w:t>Final Report</w:t>
      </w:r>
    </w:p>
    <w:p xmlns:wp14="http://schemas.microsoft.com/office/word/2010/wordml" w:rsidP="19C45076" wp14:paraId="45C97539" wp14:textId="0A64A704">
      <w:pPr>
        <w:widowControl w:val="0"/>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zh-CN"/>
        </w:rPr>
      </w:pPr>
      <w:r w:rsidRPr="19C45076" w:rsidR="281999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zh-CN"/>
        </w:rPr>
        <w:t>May 5</w:t>
      </w:r>
      <w:r w:rsidRPr="19C45076" w:rsidR="28199984">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eastAsia="zh-CN"/>
        </w:rPr>
        <w:t>th</w:t>
      </w:r>
      <w:r w:rsidRPr="19C45076" w:rsidR="281999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zh-CN"/>
        </w:rPr>
        <w:t>, 2025</w:t>
      </w:r>
    </w:p>
    <w:p xmlns:wp14="http://schemas.microsoft.com/office/word/2010/wordml" w:rsidP="19C45076" wp14:paraId="01BFB139" wp14:textId="639FBF50">
      <w:pPr>
        <w:pStyle w:val="Normal"/>
        <w:spacing w:before="0" w:beforeAutospacing="off" w:after="0" w:afterAutospacing="off" w:line="480" w:lineRule="auto"/>
        <w:ind w:left="0"/>
        <w:rPr>
          <w:rFonts w:ascii="Times New Roman" w:hAnsi="Times New Roman" w:eastAsia="Times New Roman" w:cs="Times New Roman"/>
          <w:b w:val="1"/>
          <w:bCs w:val="1"/>
          <w:noProof w:val="0"/>
          <w:sz w:val="28"/>
          <w:szCs w:val="28"/>
          <w:lang w:val="en-US"/>
        </w:rPr>
      </w:pPr>
    </w:p>
    <w:p xmlns:wp14="http://schemas.microsoft.com/office/word/2010/wordml" w:rsidP="19C45076" wp14:paraId="68B5AD48" wp14:textId="25AA93F2">
      <w:pPr>
        <w:pStyle w:val="Normal"/>
        <w:spacing w:before="0" w:beforeAutospacing="off" w:after="0" w:afterAutospacing="off" w:line="480" w:lineRule="auto"/>
        <w:ind w:left="0"/>
        <w:rPr>
          <w:rFonts w:ascii="Times New Roman" w:hAnsi="Times New Roman" w:eastAsia="Times New Roman" w:cs="Times New Roman"/>
          <w:b w:val="1"/>
          <w:bCs w:val="1"/>
          <w:noProof w:val="0"/>
          <w:sz w:val="28"/>
          <w:szCs w:val="28"/>
          <w:lang w:val="en-US"/>
        </w:rPr>
      </w:pPr>
    </w:p>
    <w:p xmlns:wp14="http://schemas.microsoft.com/office/word/2010/wordml" w:rsidP="19C45076" wp14:paraId="7802D1BF" wp14:textId="58EA2A85">
      <w:pPr>
        <w:pStyle w:val="Normal"/>
        <w:spacing w:before="0" w:beforeAutospacing="off" w:after="0" w:afterAutospacing="off" w:line="480" w:lineRule="auto"/>
        <w:ind w:left="0"/>
        <w:rPr>
          <w:rFonts w:ascii="Times New Roman" w:hAnsi="Times New Roman" w:eastAsia="Times New Roman" w:cs="Times New Roman"/>
          <w:b w:val="1"/>
          <w:bCs w:val="1"/>
          <w:noProof w:val="0"/>
          <w:sz w:val="28"/>
          <w:szCs w:val="28"/>
          <w:lang w:val="en-US"/>
        </w:rPr>
      </w:pPr>
    </w:p>
    <w:p xmlns:wp14="http://schemas.microsoft.com/office/word/2010/wordml" w:rsidP="19C45076" wp14:paraId="38123D75" wp14:textId="19F969E3">
      <w:pPr>
        <w:pStyle w:val="Normal"/>
        <w:spacing w:before="0" w:beforeAutospacing="off" w:after="0" w:afterAutospacing="off" w:line="480" w:lineRule="auto"/>
        <w:ind w:left="0"/>
        <w:rPr>
          <w:rFonts w:ascii="Times New Roman" w:hAnsi="Times New Roman" w:eastAsia="Times New Roman" w:cs="Times New Roman"/>
          <w:b w:val="1"/>
          <w:bCs w:val="1"/>
          <w:noProof w:val="0"/>
          <w:sz w:val="28"/>
          <w:szCs w:val="28"/>
          <w:lang w:val="en-US"/>
        </w:rPr>
      </w:pPr>
    </w:p>
    <w:p xmlns:wp14="http://schemas.microsoft.com/office/word/2010/wordml" w:rsidP="19C45076" wp14:paraId="643FD618" wp14:textId="3D177543">
      <w:pPr>
        <w:pStyle w:val="Normal"/>
        <w:spacing w:before="0" w:beforeAutospacing="off" w:after="0" w:afterAutospacing="off" w:line="480" w:lineRule="auto"/>
        <w:ind w:left="0"/>
        <w:rPr>
          <w:rFonts w:ascii="Times New Roman" w:hAnsi="Times New Roman" w:eastAsia="Times New Roman" w:cs="Times New Roman"/>
          <w:b w:val="1"/>
          <w:bCs w:val="1"/>
          <w:noProof w:val="0"/>
          <w:sz w:val="28"/>
          <w:szCs w:val="28"/>
          <w:lang w:val="en-US"/>
        </w:rPr>
      </w:pPr>
    </w:p>
    <w:p xmlns:wp14="http://schemas.microsoft.com/office/word/2010/wordml" w:rsidP="19C45076" wp14:paraId="45295686" wp14:textId="3E302E58">
      <w:pPr>
        <w:pStyle w:val="Normal"/>
        <w:spacing w:before="0" w:beforeAutospacing="off" w:after="0" w:afterAutospacing="off" w:line="480" w:lineRule="auto"/>
        <w:ind w:left="0"/>
        <w:rPr>
          <w:rFonts w:ascii="Times New Roman" w:hAnsi="Times New Roman" w:eastAsia="Times New Roman" w:cs="Times New Roman"/>
          <w:b w:val="1"/>
          <w:bCs w:val="1"/>
          <w:noProof w:val="0"/>
          <w:sz w:val="28"/>
          <w:szCs w:val="28"/>
          <w:lang w:val="en-US"/>
        </w:rPr>
      </w:pPr>
      <w:r w:rsidRPr="19C45076" w:rsidR="252BB620">
        <w:rPr>
          <w:rFonts w:ascii="Times New Roman" w:hAnsi="Times New Roman" w:eastAsia="Times New Roman" w:cs="Times New Roman"/>
          <w:b w:val="1"/>
          <w:bCs w:val="1"/>
          <w:noProof w:val="0"/>
          <w:sz w:val="28"/>
          <w:szCs w:val="28"/>
          <w:lang w:val="en-US"/>
        </w:rPr>
        <w:t>1. Introduction</w:t>
      </w:r>
    </w:p>
    <w:p xmlns:wp14="http://schemas.microsoft.com/office/word/2010/wordml" w:rsidP="19C45076" wp14:paraId="46451653" wp14:textId="2DAF27B1">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19C45076" w:rsidR="252BB620">
        <w:rPr>
          <w:rFonts w:ascii="Times New Roman" w:hAnsi="Times New Roman" w:eastAsia="Times New Roman" w:cs="Times New Roman"/>
          <w:b w:val="1"/>
          <w:bCs w:val="1"/>
          <w:noProof w:val="0"/>
          <w:sz w:val="24"/>
          <w:szCs w:val="24"/>
          <w:lang w:val="en-US"/>
        </w:rPr>
        <w:t xml:space="preserve">(a) Motivation </w:t>
      </w:r>
    </w:p>
    <w:p xmlns:wp14="http://schemas.microsoft.com/office/word/2010/wordml" w:rsidP="19C45076" wp14:paraId="2B8623C5" wp14:textId="4F559E08">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The COVID-19 pandemic fundamentally reshaped the global economy, accelerating technological innovation across industries. One particularly notable development has been the rapid adoption of Artificial Intelligence (AI) tools and systems. In this context, we explore a pressing research question:</w:t>
      </w:r>
      <w:r w:rsidRPr="19C45076" w:rsidR="252BB620">
        <w:rPr>
          <w:rFonts w:ascii="Times New Roman" w:hAnsi="Times New Roman" w:eastAsia="Times New Roman" w:cs="Times New Roman"/>
          <w:b w:val="1"/>
          <w:bCs w:val="1"/>
          <w:noProof w:val="0"/>
          <w:sz w:val="24"/>
          <w:szCs w:val="24"/>
          <w:lang w:val="en-US"/>
        </w:rPr>
        <w:t xml:space="preserve"> Did small-cap semiconductor firms adopting AI outperform large-cap counterparts during the COVID-19 shock?</w:t>
      </w:r>
      <w:r w:rsidRPr="19C45076" w:rsidR="252BB620">
        <w:rPr>
          <w:rFonts w:ascii="Times New Roman" w:hAnsi="Times New Roman" w:eastAsia="Times New Roman" w:cs="Times New Roman"/>
          <w:noProof w:val="0"/>
          <w:sz w:val="24"/>
          <w:szCs w:val="24"/>
          <w:lang w:val="en-US"/>
        </w:rPr>
        <w:t xml:space="preserve"> This question is vital not only for understanding firm resilience during market turbulence but also for shedding light on how technological adoption influences financial performance. From an investment perspective, insights into how firm size interacts with AI adoption under extreme events can guide strategic asset allocation. Academically, this research contributes to discussions about firm-specific risk factors and the broader implications of technological shifts on corporate valuation. </w:t>
      </w:r>
    </w:p>
    <w:p xmlns:wp14="http://schemas.microsoft.com/office/word/2010/wordml" w:rsidP="19C45076" wp14:paraId="7592D3CB" wp14:textId="7008439A">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19C45076" w:rsidR="252BB620">
        <w:rPr>
          <w:rFonts w:ascii="Times New Roman" w:hAnsi="Times New Roman" w:eastAsia="Times New Roman" w:cs="Times New Roman"/>
          <w:b w:val="1"/>
          <w:bCs w:val="1"/>
          <w:noProof w:val="0"/>
          <w:sz w:val="24"/>
          <w:szCs w:val="24"/>
          <w:lang w:val="en-US"/>
        </w:rPr>
        <w:t xml:space="preserve">Defining AI-Adopted Companies </w:t>
      </w:r>
    </w:p>
    <w:p xmlns:wp14="http://schemas.microsoft.com/office/word/2010/wordml" w:rsidP="19C45076" wp14:paraId="50C350B3" wp14:textId="57615D3C">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In this study, we define 'AI-adopted firms' as companies </w:t>
      </w:r>
      <w:r w:rsidRPr="19C45076" w:rsidR="252BB620">
        <w:rPr>
          <w:rFonts w:ascii="Times New Roman" w:hAnsi="Times New Roman" w:eastAsia="Times New Roman" w:cs="Times New Roman"/>
          <w:noProof w:val="0"/>
          <w:sz w:val="24"/>
          <w:szCs w:val="24"/>
          <w:lang w:val="en-US"/>
        </w:rPr>
        <w:t>operating</w:t>
      </w:r>
      <w:r w:rsidRPr="19C45076" w:rsidR="252BB620">
        <w:rPr>
          <w:rFonts w:ascii="Times New Roman" w:hAnsi="Times New Roman" w:eastAsia="Times New Roman" w:cs="Times New Roman"/>
          <w:noProof w:val="0"/>
          <w:sz w:val="24"/>
          <w:szCs w:val="24"/>
          <w:lang w:val="en-US"/>
        </w:rPr>
        <w:t xml:space="preserve"> in sectors where</w:t>
      </w:r>
      <w:r w:rsidRPr="19C45076" w:rsidR="252BB620">
        <w:rPr>
          <w:rFonts w:ascii="Times New Roman" w:hAnsi="Times New Roman" w:eastAsia="Times New Roman" w:cs="Times New Roman"/>
          <w:i w:val="1"/>
          <w:iCs w:val="1"/>
          <w:noProof w:val="0"/>
          <w:sz w:val="24"/>
          <w:szCs w:val="24"/>
          <w:lang w:val="en-US"/>
        </w:rPr>
        <w:t xml:space="preserve"> AI forms an essential </w:t>
      </w:r>
      <w:r w:rsidRPr="19C45076" w:rsidR="252BB620">
        <w:rPr>
          <w:rFonts w:ascii="Times New Roman" w:hAnsi="Times New Roman" w:eastAsia="Times New Roman" w:cs="Times New Roman"/>
          <w:i w:val="1"/>
          <w:iCs w:val="1"/>
          <w:noProof w:val="0"/>
          <w:sz w:val="24"/>
          <w:szCs w:val="24"/>
          <w:lang w:val="en-US"/>
        </w:rPr>
        <w:t>component</w:t>
      </w:r>
      <w:r w:rsidRPr="19C45076" w:rsidR="252BB620">
        <w:rPr>
          <w:rFonts w:ascii="Times New Roman" w:hAnsi="Times New Roman" w:eastAsia="Times New Roman" w:cs="Times New Roman"/>
          <w:i w:val="1"/>
          <w:iCs w:val="1"/>
          <w:noProof w:val="0"/>
          <w:sz w:val="24"/>
          <w:szCs w:val="24"/>
          <w:lang w:val="en-US"/>
        </w:rPr>
        <w:t xml:space="preserve"> of their products, services, or operational strategies. </w:t>
      </w:r>
      <w:r w:rsidRPr="19C45076" w:rsidR="252BB620">
        <w:rPr>
          <w:rFonts w:ascii="Times New Roman" w:hAnsi="Times New Roman" w:eastAsia="Times New Roman" w:cs="Times New Roman"/>
          <w:noProof w:val="0"/>
          <w:sz w:val="24"/>
          <w:szCs w:val="24"/>
          <w:lang w:val="en-US"/>
        </w:rPr>
        <w:t xml:space="preserve">Our classification is based on companies' official public disclosures, such as company descriptions, earnings reports, and product announcements, where AI-related initiatives are explicitly mentioned. For instance, firms like AMD highlight its AI accelerators and GPU technologies; Intel </w:t>
      </w:r>
      <w:r w:rsidRPr="19C45076" w:rsidR="252BB620">
        <w:rPr>
          <w:rFonts w:ascii="Times New Roman" w:hAnsi="Times New Roman" w:eastAsia="Times New Roman" w:cs="Times New Roman"/>
          <w:noProof w:val="0"/>
          <w:sz w:val="24"/>
          <w:szCs w:val="24"/>
          <w:lang w:val="en-US"/>
        </w:rPr>
        <w:t>showcases</w:t>
      </w:r>
      <w:r w:rsidRPr="19C45076" w:rsidR="252BB620">
        <w:rPr>
          <w:rFonts w:ascii="Times New Roman" w:hAnsi="Times New Roman" w:eastAsia="Times New Roman" w:cs="Times New Roman"/>
          <w:noProof w:val="0"/>
          <w:sz w:val="24"/>
          <w:szCs w:val="24"/>
          <w:lang w:val="en-US"/>
        </w:rPr>
        <w:t xml:space="preserve"> edge AI deployments and AI-specific chip innovations such as the Gaudi3 processor. Similarly, smaller firms like </w:t>
      </w:r>
      <w:r w:rsidRPr="19C45076" w:rsidR="252BB620">
        <w:rPr>
          <w:rFonts w:ascii="Times New Roman" w:hAnsi="Times New Roman" w:eastAsia="Times New Roman" w:cs="Times New Roman"/>
          <w:noProof w:val="0"/>
          <w:sz w:val="24"/>
          <w:szCs w:val="24"/>
          <w:lang w:val="en-US"/>
        </w:rPr>
        <w:t>Magnachip</w:t>
      </w:r>
      <w:r w:rsidRPr="19C45076" w:rsidR="252BB620">
        <w:rPr>
          <w:rFonts w:ascii="Times New Roman" w:hAnsi="Times New Roman" w:eastAsia="Times New Roman" w:cs="Times New Roman"/>
          <w:noProof w:val="0"/>
          <w:sz w:val="24"/>
          <w:szCs w:val="24"/>
          <w:lang w:val="en-US"/>
        </w:rPr>
        <w:t xml:space="preserve"> Semiconductor have introduced power chips </w:t>
      </w:r>
      <w:r w:rsidRPr="19C45076" w:rsidR="252BB620">
        <w:rPr>
          <w:rFonts w:ascii="Times New Roman" w:hAnsi="Times New Roman" w:eastAsia="Times New Roman" w:cs="Times New Roman"/>
          <w:noProof w:val="0"/>
          <w:sz w:val="24"/>
          <w:szCs w:val="24"/>
          <w:lang w:val="en-US"/>
        </w:rPr>
        <w:t>optimized</w:t>
      </w:r>
      <w:r w:rsidRPr="19C45076" w:rsidR="252BB620">
        <w:rPr>
          <w:rFonts w:ascii="Times New Roman" w:hAnsi="Times New Roman" w:eastAsia="Times New Roman" w:cs="Times New Roman"/>
          <w:noProof w:val="0"/>
          <w:sz w:val="24"/>
          <w:szCs w:val="24"/>
          <w:lang w:val="en-US"/>
        </w:rPr>
        <w:t xml:space="preserve"> for AI applications in consumer electronics. </w:t>
      </w:r>
    </w:p>
    <w:p xmlns:wp14="http://schemas.microsoft.com/office/word/2010/wordml" w:rsidP="19C45076" wp14:paraId="44078CFF" wp14:textId="7F458E99">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19C45076" w:rsidR="252BB620">
        <w:rPr>
          <w:rFonts w:ascii="Times New Roman" w:hAnsi="Times New Roman" w:eastAsia="Times New Roman" w:cs="Times New Roman"/>
          <w:b w:val="1"/>
          <w:bCs w:val="1"/>
          <w:noProof w:val="0"/>
          <w:sz w:val="24"/>
          <w:szCs w:val="24"/>
          <w:lang w:val="en-US"/>
        </w:rPr>
        <w:t xml:space="preserve">(b) Data and Methods </w:t>
      </w:r>
    </w:p>
    <w:p xmlns:wp14="http://schemas.microsoft.com/office/word/2010/wordml" w:rsidP="19C45076" wp14:paraId="732D7AD9" wp14:textId="3CFB6552">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We selected </w:t>
      </w:r>
      <w:r w:rsidRPr="19C45076" w:rsidR="252BB620">
        <w:rPr>
          <w:rFonts w:ascii="Times New Roman" w:hAnsi="Times New Roman" w:eastAsia="Times New Roman" w:cs="Times New Roman"/>
          <w:b w:val="1"/>
          <w:bCs w:val="1"/>
          <w:noProof w:val="0"/>
          <w:sz w:val="24"/>
          <w:szCs w:val="24"/>
          <w:lang w:val="en-US"/>
        </w:rPr>
        <w:t xml:space="preserve">6 </w:t>
      </w:r>
      <w:r w:rsidRPr="19C45076" w:rsidR="252BB620">
        <w:rPr>
          <w:rFonts w:ascii="Times New Roman" w:hAnsi="Times New Roman" w:eastAsia="Times New Roman" w:cs="Times New Roman"/>
          <w:noProof w:val="0"/>
          <w:sz w:val="24"/>
          <w:szCs w:val="24"/>
          <w:lang w:val="en-US"/>
        </w:rPr>
        <w:t xml:space="preserve">semiconductor firms </w:t>
      </w:r>
      <w:r w:rsidRPr="19C45076" w:rsidR="252BB620">
        <w:rPr>
          <w:rFonts w:ascii="Times New Roman" w:hAnsi="Times New Roman" w:eastAsia="Times New Roman" w:cs="Times New Roman"/>
          <w:noProof w:val="0"/>
          <w:sz w:val="24"/>
          <w:szCs w:val="24"/>
          <w:lang w:val="en-US"/>
        </w:rPr>
        <w:t>publicly recognized</w:t>
      </w:r>
      <w:r w:rsidRPr="19C45076" w:rsidR="252BB620">
        <w:rPr>
          <w:rFonts w:ascii="Times New Roman" w:hAnsi="Times New Roman" w:eastAsia="Times New Roman" w:cs="Times New Roman"/>
          <w:noProof w:val="0"/>
          <w:sz w:val="24"/>
          <w:szCs w:val="24"/>
          <w:lang w:val="en-US"/>
        </w:rPr>
        <w:t xml:space="preserve"> for their AI adoption. Large-cap firms include Advanced Micro Devices (AMD), Intel Corporation (INTC), and Qualcomm Incorporated (QCOM). Small-cap firms include Alpha and Omega Semiconductor (AOSL), </w:t>
      </w:r>
      <w:r w:rsidRPr="19C45076" w:rsidR="252BB620">
        <w:rPr>
          <w:rFonts w:ascii="Times New Roman" w:hAnsi="Times New Roman" w:eastAsia="Times New Roman" w:cs="Times New Roman"/>
          <w:noProof w:val="0"/>
          <w:sz w:val="24"/>
          <w:szCs w:val="24"/>
          <w:lang w:val="en-US"/>
        </w:rPr>
        <w:t>Magnachip</w:t>
      </w:r>
      <w:r w:rsidRPr="19C45076" w:rsidR="252BB620">
        <w:rPr>
          <w:rFonts w:ascii="Times New Roman" w:hAnsi="Times New Roman" w:eastAsia="Times New Roman" w:cs="Times New Roman"/>
          <w:noProof w:val="0"/>
          <w:sz w:val="24"/>
          <w:szCs w:val="24"/>
          <w:lang w:val="en-US"/>
        </w:rPr>
        <w:t xml:space="preserve"> Semiconductor Corp (MX), and </w:t>
      </w:r>
      <w:r w:rsidRPr="19C45076" w:rsidR="252BB620">
        <w:rPr>
          <w:rFonts w:ascii="Times New Roman" w:hAnsi="Times New Roman" w:eastAsia="Times New Roman" w:cs="Times New Roman"/>
          <w:noProof w:val="0"/>
          <w:sz w:val="24"/>
          <w:szCs w:val="24"/>
          <w:lang w:val="en-US"/>
        </w:rPr>
        <w:t>Wolfspeed</w:t>
      </w:r>
      <w:r w:rsidRPr="19C45076" w:rsidR="252BB620">
        <w:rPr>
          <w:rFonts w:ascii="Times New Roman" w:hAnsi="Times New Roman" w:eastAsia="Times New Roman" w:cs="Times New Roman"/>
          <w:noProof w:val="0"/>
          <w:sz w:val="24"/>
          <w:szCs w:val="24"/>
          <w:lang w:val="en-US"/>
        </w:rPr>
        <w:t xml:space="preserve">, Inc. (WOLF). We classified them based on market capitalization: </w:t>
      </w:r>
    </w:p>
    <w:p xmlns:wp14="http://schemas.microsoft.com/office/word/2010/wordml" w:rsidP="19C45076" wp14:paraId="36A26609" wp14:textId="4582DD19">
      <w:pPr>
        <w:pStyle w:val="ListParagraph"/>
        <w:numPr>
          <w:ilvl w:val="0"/>
          <w:numId w:val="3"/>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Large Market Cap: Range- </w:t>
      </w:r>
      <w:r w:rsidRPr="19C45076" w:rsidR="252BB620">
        <w:rPr>
          <w:rFonts w:ascii="Times New Roman" w:hAnsi="Times New Roman" w:eastAsia="Times New Roman" w:cs="Times New Roman"/>
          <w:noProof w:val="0"/>
          <w:sz w:val="24"/>
          <w:szCs w:val="24"/>
          <w:lang w:val="en-US"/>
        </w:rPr>
        <w:t>$85.08 billion</w:t>
      </w:r>
      <w:r w:rsidRPr="19C45076" w:rsidR="252BB620">
        <w:rPr>
          <w:rFonts w:ascii="Times New Roman" w:hAnsi="Times New Roman" w:eastAsia="Times New Roman" w:cs="Times New Roman"/>
          <w:noProof w:val="0"/>
          <w:sz w:val="24"/>
          <w:szCs w:val="24"/>
          <w:lang w:val="en-US"/>
        </w:rPr>
        <w:t xml:space="preserve"> - </w:t>
      </w:r>
      <w:r w:rsidRPr="19C45076" w:rsidR="252BB620">
        <w:rPr>
          <w:rFonts w:ascii="Times New Roman" w:hAnsi="Times New Roman" w:eastAsia="Times New Roman" w:cs="Times New Roman"/>
          <w:noProof w:val="0"/>
          <w:sz w:val="24"/>
          <w:szCs w:val="24"/>
          <w:lang w:val="en-US"/>
        </w:rPr>
        <w:t>$152.55 billion</w:t>
      </w:r>
      <w:r w:rsidRPr="19C45076" w:rsidR="252BB620">
        <w:rPr>
          <w:rFonts w:ascii="Times New Roman" w:hAnsi="Times New Roman" w:eastAsia="Times New Roman" w:cs="Times New Roman"/>
          <w:noProof w:val="0"/>
          <w:sz w:val="24"/>
          <w:szCs w:val="24"/>
          <w:lang w:val="en-US"/>
        </w:rPr>
        <w:t xml:space="preserve"> </w:t>
      </w:r>
    </w:p>
    <w:p xmlns:wp14="http://schemas.microsoft.com/office/word/2010/wordml" w:rsidP="19C45076" wp14:paraId="28AE1F10" wp14:textId="7FB2D92B">
      <w:pPr>
        <w:pStyle w:val="ListParagraph"/>
        <w:numPr>
          <w:ilvl w:val="0"/>
          <w:numId w:val="3"/>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Small Market Cap: Range- $110.28 million - $479.76 million </w:t>
      </w:r>
    </w:p>
    <w:p xmlns:wp14="http://schemas.microsoft.com/office/word/2010/wordml" w:rsidP="19C45076" wp14:paraId="7905C381" wp14:textId="1B8BDBE8">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b w:val="1"/>
          <w:bCs w:val="1"/>
          <w:noProof w:val="0"/>
          <w:sz w:val="24"/>
          <w:szCs w:val="24"/>
          <w:lang w:val="en-US"/>
        </w:rPr>
        <w:t>Timeline</w:t>
      </w:r>
      <w:r w:rsidRPr="19C45076" w:rsidR="252BB620">
        <w:rPr>
          <w:rFonts w:ascii="Times New Roman" w:hAnsi="Times New Roman" w:eastAsia="Times New Roman" w:cs="Times New Roman"/>
          <w:noProof w:val="0"/>
          <w:sz w:val="24"/>
          <w:szCs w:val="24"/>
          <w:lang w:val="en-US"/>
        </w:rPr>
        <w:t xml:space="preserve">: Our study period spans three key phases: pre-COVID (January 2018 – December 2019), during COVID (January 2020 – June 2021), and post-COVID (July 2021 – December 2022). </w:t>
      </w:r>
    </w:p>
    <w:p xmlns:wp14="http://schemas.microsoft.com/office/word/2010/wordml" w:rsidP="19C45076" wp14:paraId="13312B38" wp14:textId="70A415B1">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We applied Capital Asset Pricing Model (</w:t>
      </w:r>
      <w:r w:rsidRPr="19C45076" w:rsidR="252BB620">
        <w:rPr>
          <w:rFonts w:ascii="Times New Roman" w:hAnsi="Times New Roman" w:eastAsia="Times New Roman" w:cs="Times New Roman"/>
          <w:b w:val="1"/>
          <w:bCs w:val="1"/>
          <w:noProof w:val="0"/>
          <w:sz w:val="24"/>
          <w:szCs w:val="24"/>
          <w:lang w:val="en-US"/>
        </w:rPr>
        <w:t>CAPM</w:t>
      </w:r>
      <w:r w:rsidRPr="19C45076" w:rsidR="252BB620">
        <w:rPr>
          <w:rFonts w:ascii="Times New Roman" w:hAnsi="Times New Roman" w:eastAsia="Times New Roman" w:cs="Times New Roman"/>
          <w:noProof w:val="0"/>
          <w:sz w:val="24"/>
          <w:szCs w:val="24"/>
          <w:lang w:val="en-US"/>
        </w:rPr>
        <w:t>) and the</w:t>
      </w:r>
      <w:r w:rsidRPr="19C45076" w:rsidR="252BB620">
        <w:rPr>
          <w:rFonts w:ascii="Times New Roman" w:hAnsi="Times New Roman" w:eastAsia="Times New Roman" w:cs="Times New Roman"/>
          <w:b w:val="1"/>
          <w:bCs w:val="1"/>
          <w:noProof w:val="0"/>
          <w:sz w:val="24"/>
          <w:szCs w:val="24"/>
          <w:lang w:val="en-US"/>
        </w:rPr>
        <w:t xml:space="preserve"> Fama-French 5-factor</w:t>
      </w:r>
      <w:r w:rsidRPr="19C45076" w:rsidR="252BB620">
        <w:rPr>
          <w:rFonts w:ascii="Times New Roman" w:hAnsi="Times New Roman" w:eastAsia="Times New Roman" w:cs="Times New Roman"/>
          <w:noProof w:val="0"/>
          <w:sz w:val="24"/>
          <w:szCs w:val="24"/>
          <w:lang w:val="en-US"/>
        </w:rPr>
        <w:t xml:space="preserve"> model, to analyze market sensitivity and returns. </w:t>
      </w:r>
    </w:p>
    <w:p xmlns:wp14="http://schemas.microsoft.com/office/word/2010/wordml" w:rsidP="19C45076" wp14:paraId="286BBBBF" wp14:textId="6F021F92">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b w:val="1"/>
          <w:bCs w:val="1"/>
          <w:noProof w:val="0"/>
          <w:sz w:val="24"/>
          <w:szCs w:val="24"/>
          <w:lang w:val="en-US"/>
        </w:rPr>
        <w:t>(c) Results and Conclusions</w:t>
      </w:r>
      <w:r w:rsidRPr="19C45076" w:rsidR="252BB620">
        <w:rPr>
          <w:rFonts w:ascii="Times New Roman" w:hAnsi="Times New Roman" w:eastAsia="Times New Roman" w:cs="Times New Roman"/>
          <w:b w:val="1"/>
          <w:bCs w:val="1"/>
          <w:noProof w:val="0"/>
          <w:sz w:val="24"/>
          <w:szCs w:val="24"/>
          <w:lang w:val="en-US"/>
        </w:rPr>
        <w:t xml:space="preserve"> </w:t>
      </w:r>
      <w:r w:rsidRPr="19C45076" w:rsidR="33F534DB">
        <w:rPr>
          <w:rFonts w:ascii="Times New Roman" w:hAnsi="Times New Roman" w:eastAsia="Times New Roman" w:cs="Times New Roman"/>
          <w:b w:val="1"/>
          <w:bCs w:val="1"/>
          <w:noProof w:val="0"/>
          <w:sz w:val="24"/>
          <w:szCs w:val="24"/>
          <w:lang w:val="en-US"/>
        </w:rPr>
        <w:t xml:space="preserve">                                                                                                             </w:t>
      </w:r>
      <w:r w:rsidRPr="19C45076" w:rsidR="252BB620">
        <w:rPr>
          <w:rFonts w:ascii="Times New Roman" w:hAnsi="Times New Roman" w:eastAsia="Times New Roman" w:cs="Times New Roman"/>
          <w:noProof w:val="0"/>
          <w:sz w:val="24"/>
          <w:szCs w:val="24"/>
          <w:lang w:val="en-US"/>
        </w:rPr>
        <w:t>During the</w:t>
      </w:r>
      <w:r w:rsidRPr="19C45076" w:rsidR="252BB620">
        <w:rPr>
          <w:rFonts w:ascii="Times New Roman" w:hAnsi="Times New Roman" w:eastAsia="Times New Roman" w:cs="Times New Roman"/>
          <w:b w:val="1"/>
          <w:bCs w:val="1"/>
          <w:noProof w:val="0"/>
          <w:sz w:val="24"/>
          <w:szCs w:val="24"/>
          <w:lang w:val="en-US"/>
        </w:rPr>
        <w:t xml:space="preserve"> pre-COVID </w:t>
      </w:r>
      <w:r w:rsidRPr="19C45076" w:rsidR="252BB620">
        <w:rPr>
          <w:rFonts w:ascii="Times New Roman" w:hAnsi="Times New Roman" w:eastAsia="Times New Roman" w:cs="Times New Roman"/>
          <w:noProof w:val="0"/>
          <w:sz w:val="24"/>
          <w:szCs w:val="24"/>
          <w:lang w:val="en-US"/>
        </w:rPr>
        <w:t xml:space="preserve">period, large cap AI-adopting firms </w:t>
      </w:r>
      <w:r w:rsidRPr="19C45076" w:rsidR="252BB620">
        <w:rPr>
          <w:rFonts w:ascii="Times New Roman" w:hAnsi="Times New Roman" w:eastAsia="Times New Roman" w:cs="Times New Roman"/>
          <w:noProof w:val="0"/>
          <w:sz w:val="24"/>
          <w:szCs w:val="24"/>
          <w:lang w:val="en-US"/>
        </w:rPr>
        <w:t>exhibited</w:t>
      </w:r>
      <w:r w:rsidRPr="19C45076" w:rsidR="252BB620">
        <w:rPr>
          <w:rFonts w:ascii="Times New Roman" w:hAnsi="Times New Roman" w:eastAsia="Times New Roman" w:cs="Times New Roman"/>
          <w:noProof w:val="0"/>
          <w:sz w:val="24"/>
          <w:szCs w:val="24"/>
          <w:lang w:val="en-US"/>
        </w:rPr>
        <w:t xml:space="preserve"> characteristics typical of high-growth technology stocks, with high market sensitivity and strong momentum exposure.</w:t>
      </w:r>
    </w:p>
    <w:p xmlns:wp14="http://schemas.microsoft.com/office/word/2010/wordml" w:rsidP="19C45076" wp14:paraId="0D428C81" wp14:textId="57BB11E7">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 </w:t>
      </w:r>
      <w:r w:rsidRPr="19C45076" w:rsidR="5807901C">
        <w:rPr>
          <w:rFonts w:ascii="Times New Roman" w:hAnsi="Times New Roman" w:eastAsia="Times New Roman" w:cs="Times New Roman"/>
          <w:b w:val="1"/>
          <w:bCs w:val="1"/>
          <w:noProof w:val="0"/>
          <w:sz w:val="24"/>
          <w:szCs w:val="24"/>
          <w:lang w:val="en-US"/>
        </w:rPr>
        <w:t xml:space="preserve">During </w:t>
      </w:r>
      <w:r w:rsidRPr="19C45076" w:rsidR="252BB620">
        <w:rPr>
          <w:rFonts w:ascii="Times New Roman" w:hAnsi="Times New Roman" w:eastAsia="Times New Roman" w:cs="Times New Roman"/>
          <w:b w:val="1"/>
          <w:bCs w:val="1"/>
          <w:noProof w:val="0"/>
          <w:sz w:val="24"/>
          <w:szCs w:val="24"/>
          <w:lang w:val="en-US"/>
        </w:rPr>
        <w:t>COVID</w:t>
      </w:r>
      <w:r w:rsidRPr="19C45076" w:rsidR="252BB620">
        <w:rPr>
          <w:rFonts w:ascii="Times New Roman" w:hAnsi="Times New Roman" w:eastAsia="Times New Roman" w:cs="Times New Roman"/>
          <w:noProof w:val="0"/>
          <w:sz w:val="24"/>
          <w:szCs w:val="24"/>
          <w:lang w:val="en-US"/>
        </w:rPr>
        <w:t xml:space="preserve">, large-cap firms </w:t>
      </w:r>
      <w:r w:rsidRPr="19C45076" w:rsidR="252BB620">
        <w:rPr>
          <w:rFonts w:ascii="Times New Roman" w:hAnsi="Times New Roman" w:eastAsia="Times New Roman" w:cs="Times New Roman"/>
          <w:noProof w:val="0"/>
          <w:sz w:val="24"/>
          <w:szCs w:val="24"/>
          <w:lang w:val="en-US"/>
        </w:rPr>
        <w:t>demonstrated</w:t>
      </w:r>
      <w:r w:rsidRPr="19C45076" w:rsidR="252BB620">
        <w:rPr>
          <w:rFonts w:ascii="Times New Roman" w:hAnsi="Times New Roman" w:eastAsia="Times New Roman" w:cs="Times New Roman"/>
          <w:noProof w:val="0"/>
          <w:sz w:val="24"/>
          <w:szCs w:val="24"/>
          <w:lang w:val="en-US"/>
        </w:rPr>
        <w:t xml:space="preserve"> greater resilience, </w:t>
      </w:r>
      <w:r w:rsidRPr="19C45076" w:rsidR="252BB620">
        <w:rPr>
          <w:rFonts w:ascii="Times New Roman" w:hAnsi="Times New Roman" w:eastAsia="Times New Roman" w:cs="Times New Roman"/>
          <w:noProof w:val="0"/>
          <w:sz w:val="24"/>
          <w:szCs w:val="24"/>
          <w:lang w:val="en-US"/>
        </w:rPr>
        <w:t>maintaining</w:t>
      </w:r>
      <w:r w:rsidRPr="19C45076" w:rsidR="252BB620">
        <w:rPr>
          <w:rFonts w:ascii="Times New Roman" w:hAnsi="Times New Roman" w:eastAsia="Times New Roman" w:cs="Times New Roman"/>
          <w:noProof w:val="0"/>
          <w:sz w:val="24"/>
          <w:szCs w:val="24"/>
          <w:lang w:val="en-US"/>
        </w:rPr>
        <w:t xml:space="preserve"> moderate volatility and </w:t>
      </w:r>
      <w:r w:rsidRPr="19C45076" w:rsidR="252BB620">
        <w:rPr>
          <w:rFonts w:ascii="Times New Roman" w:hAnsi="Times New Roman" w:eastAsia="Times New Roman" w:cs="Times New Roman"/>
          <w:noProof w:val="0"/>
          <w:sz w:val="24"/>
          <w:szCs w:val="24"/>
          <w:lang w:val="en-US"/>
        </w:rPr>
        <w:t>relatively stable</w:t>
      </w:r>
      <w:r w:rsidRPr="19C45076" w:rsidR="252BB620">
        <w:rPr>
          <w:rFonts w:ascii="Times New Roman" w:hAnsi="Times New Roman" w:eastAsia="Times New Roman" w:cs="Times New Roman"/>
          <w:noProof w:val="0"/>
          <w:sz w:val="24"/>
          <w:szCs w:val="24"/>
          <w:lang w:val="en-US"/>
        </w:rPr>
        <w:t xml:space="preserve"> returns. Meanwhile, small-cap firms displayed higher volatility and mixed performance, with occasional outperformance during periods of rapid technological shifts or pandemic-driven demand spikes. Overall, the CAPM model reflected that while small-cap firms presented higher risk and higher reward characteristics, large-cap firms offered more stability throughout the pandemic. The Fama French models reflected that in terms of factors such as profitability and positive SMB exposure, small cap companies tended to outperform large cap companies during the pandemic. </w:t>
      </w:r>
    </w:p>
    <w:p xmlns:wp14="http://schemas.microsoft.com/office/word/2010/wordml" w:rsidP="19C45076" wp14:paraId="2481DA62" wp14:textId="002CFD7B">
      <w:pPr>
        <w:spacing w:before="240" w:beforeAutospacing="off" w:after="240" w:afterAutospacing="off" w:line="480" w:lineRule="auto"/>
        <w:rPr>
          <w:rFonts w:ascii="Times New Roman" w:hAnsi="Times New Roman" w:eastAsia="Times New Roman" w:cs="Times New Roman"/>
          <w:b w:val="1"/>
          <w:bCs w:val="1"/>
          <w:noProof w:val="0"/>
          <w:sz w:val="28"/>
          <w:szCs w:val="28"/>
          <w:lang w:val="en-US"/>
        </w:rPr>
      </w:pPr>
      <w:r w:rsidRPr="19C45076" w:rsidR="252BB620">
        <w:rPr>
          <w:rFonts w:ascii="Times New Roman" w:hAnsi="Times New Roman" w:eastAsia="Times New Roman" w:cs="Times New Roman"/>
          <w:b w:val="1"/>
          <w:bCs w:val="1"/>
          <w:noProof w:val="0"/>
          <w:sz w:val="28"/>
          <w:szCs w:val="28"/>
          <w:lang w:val="en-US"/>
        </w:rPr>
        <w:t>2.</w:t>
      </w:r>
      <w:r w:rsidRPr="19C45076" w:rsidR="1752A4D1">
        <w:rPr>
          <w:rFonts w:ascii="Times New Roman" w:hAnsi="Times New Roman" w:eastAsia="Times New Roman" w:cs="Times New Roman"/>
          <w:b w:val="1"/>
          <w:bCs w:val="1"/>
          <w:noProof w:val="0"/>
          <w:sz w:val="28"/>
          <w:szCs w:val="28"/>
          <w:lang w:val="en-US"/>
        </w:rPr>
        <w:t xml:space="preserve"> </w:t>
      </w:r>
      <w:r w:rsidRPr="19C45076" w:rsidR="252BB620">
        <w:rPr>
          <w:rFonts w:ascii="Times New Roman" w:hAnsi="Times New Roman" w:eastAsia="Times New Roman" w:cs="Times New Roman"/>
          <w:b w:val="1"/>
          <w:bCs w:val="1"/>
          <w:noProof w:val="0"/>
          <w:sz w:val="28"/>
          <w:szCs w:val="28"/>
          <w:lang w:val="en-US"/>
        </w:rPr>
        <w:t xml:space="preserve">Data and Methods </w:t>
      </w:r>
    </w:p>
    <w:p xmlns:wp14="http://schemas.microsoft.com/office/word/2010/wordml" w:rsidP="19C45076" wp14:paraId="786B5411" wp14:textId="53474E97">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This study analyzes the financial performance and risk profile of the</w:t>
      </w:r>
      <w:r w:rsidRPr="19C45076" w:rsidR="252BB620">
        <w:rPr>
          <w:rFonts w:ascii="Times New Roman" w:hAnsi="Times New Roman" w:eastAsia="Times New Roman" w:cs="Times New Roman"/>
          <w:b w:val="1"/>
          <w:bCs w:val="1"/>
          <w:noProof w:val="0"/>
          <w:sz w:val="24"/>
          <w:szCs w:val="24"/>
          <w:lang w:val="en-US"/>
        </w:rPr>
        <w:t xml:space="preserve"> 6 companies across three distinct periods</w:t>
      </w:r>
      <w:r w:rsidRPr="19C45076" w:rsidR="252BB620">
        <w:rPr>
          <w:rFonts w:ascii="Times New Roman" w:hAnsi="Times New Roman" w:eastAsia="Times New Roman" w:cs="Times New Roman"/>
          <w:noProof w:val="0"/>
          <w:sz w:val="24"/>
          <w:szCs w:val="24"/>
          <w:lang w:val="en-US"/>
        </w:rPr>
        <w:t xml:space="preserve"> using asset pricing models implemented in R. The analysis draws on concepts covered in class and homework to develop functions that calculate stock returns, estimate model coefficients, and compute beta values. </w:t>
      </w:r>
    </w:p>
    <w:p xmlns:wp14="http://schemas.microsoft.com/office/word/2010/wordml" w:rsidP="19C45076" wp14:paraId="01CC0274" wp14:textId="4203FFF7">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i w:val="1"/>
          <w:iCs w:val="1"/>
          <w:noProof w:val="0"/>
          <w:sz w:val="24"/>
          <w:szCs w:val="24"/>
          <w:lang w:val="en-US"/>
        </w:rPr>
        <w:t xml:space="preserve">For example, </w:t>
      </w:r>
      <w:r w:rsidRPr="19C45076" w:rsidR="252BB620">
        <w:rPr>
          <w:rFonts w:ascii="Times New Roman" w:hAnsi="Times New Roman" w:eastAsia="Times New Roman" w:cs="Times New Roman"/>
          <w:noProof w:val="0"/>
          <w:sz w:val="24"/>
          <w:szCs w:val="24"/>
          <w:lang w:val="en-US"/>
        </w:rPr>
        <w:t xml:space="preserve">when computing the model for AMD, our data sources were: </w:t>
      </w:r>
    </w:p>
    <w:p xmlns:wp14="http://schemas.microsoft.com/office/word/2010/wordml" w:rsidP="19C45076" wp14:paraId="1F3E69C6" wp14:textId="42240AA4">
      <w:pPr>
        <w:pStyle w:val="ListParagraph"/>
        <w:numPr>
          <w:ilvl w:val="0"/>
          <w:numId w:val="5"/>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Daily stock price data for AMD was sourced via the </w:t>
      </w:r>
      <w:r w:rsidRPr="19C45076" w:rsidR="252BB620">
        <w:rPr>
          <w:rFonts w:ascii="Times New Roman" w:hAnsi="Times New Roman" w:eastAsia="Times New Roman" w:cs="Times New Roman"/>
          <w:noProof w:val="0"/>
          <w:sz w:val="24"/>
          <w:szCs w:val="24"/>
          <w:lang w:val="en-US"/>
        </w:rPr>
        <w:t>quantmod</w:t>
      </w:r>
      <w:r w:rsidRPr="19C45076" w:rsidR="252BB620">
        <w:rPr>
          <w:rFonts w:ascii="Times New Roman" w:hAnsi="Times New Roman" w:eastAsia="Times New Roman" w:cs="Times New Roman"/>
          <w:noProof w:val="0"/>
          <w:sz w:val="24"/>
          <w:szCs w:val="24"/>
          <w:lang w:val="en-US"/>
        </w:rPr>
        <w:t xml:space="preserve"> package from Yahoo Finance. </w:t>
      </w:r>
    </w:p>
    <w:p xmlns:wp14="http://schemas.microsoft.com/office/word/2010/wordml" w:rsidP="19C45076" wp14:paraId="71AE4213" wp14:textId="12A79288">
      <w:pPr>
        <w:pStyle w:val="ListParagraph"/>
        <w:numPr>
          <w:ilvl w:val="0"/>
          <w:numId w:val="5"/>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Market Returns: Daily returns of the S&amp;P 500 index (ticker ^GSPC) were used as a proxy for market returns. </w:t>
      </w:r>
    </w:p>
    <w:p xmlns:wp14="http://schemas.microsoft.com/office/word/2010/wordml" w:rsidP="19C45076" wp14:paraId="06CC9D0F" wp14:textId="20A3E0B8">
      <w:pPr>
        <w:pStyle w:val="ListParagraph"/>
        <w:numPr>
          <w:ilvl w:val="0"/>
          <w:numId w:val="5"/>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Factor Returns: Monthly Fama-French 5-Factor data and the Momentum factor were imported from CSV files. </w:t>
      </w:r>
    </w:p>
    <w:p xmlns:wp14="http://schemas.microsoft.com/office/word/2010/wordml" w:rsidP="19C45076" wp14:paraId="3026A2C1" wp14:textId="3739435E">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19C45076" w:rsidR="252BB620">
        <w:rPr>
          <w:rFonts w:ascii="Times New Roman" w:hAnsi="Times New Roman" w:eastAsia="Times New Roman" w:cs="Times New Roman"/>
          <w:b w:val="1"/>
          <w:bCs w:val="1"/>
          <w:noProof w:val="0"/>
          <w:sz w:val="24"/>
          <w:szCs w:val="24"/>
          <w:lang w:val="en-US"/>
        </w:rPr>
        <w:t xml:space="preserve">Methodology: </w:t>
      </w:r>
    </w:p>
    <w:p xmlns:wp14="http://schemas.microsoft.com/office/word/2010/wordml" w:rsidP="19C45076" wp14:paraId="233CAA98" wp14:textId="1D29450F">
      <w:pPr>
        <w:pStyle w:val="ListParagraph"/>
        <w:numPr>
          <w:ilvl w:val="0"/>
          <w:numId w:val="6"/>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Daily Return Calculation: A function </w:t>
      </w:r>
      <w:r w:rsidRPr="19C45076" w:rsidR="252BB620">
        <w:rPr>
          <w:rFonts w:ascii="Times New Roman" w:hAnsi="Times New Roman" w:eastAsia="Times New Roman" w:cs="Times New Roman"/>
          <w:i w:val="1"/>
          <w:iCs w:val="1"/>
          <w:noProof w:val="0"/>
          <w:sz w:val="24"/>
          <w:szCs w:val="24"/>
          <w:lang w:val="en-US"/>
        </w:rPr>
        <w:t>dret</w:t>
      </w:r>
      <w:r w:rsidRPr="19C45076" w:rsidR="252BB620">
        <w:rPr>
          <w:rFonts w:ascii="Times New Roman" w:hAnsi="Times New Roman" w:eastAsia="Times New Roman" w:cs="Times New Roman"/>
          <w:i w:val="1"/>
          <w:iCs w:val="1"/>
          <w:noProof w:val="0"/>
          <w:sz w:val="24"/>
          <w:szCs w:val="24"/>
          <w:lang w:val="en-US"/>
        </w:rPr>
        <w:t>()</w:t>
      </w:r>
      <w:r w:rsidRPr="19C45076" w:rsidR="252BB620">
        <w:rPr>
          <w:rFonts w:ascii="Times New Roman" w:hAnsi="Times New Roman" w:eastAsia="Times New Roman" w:cs="Times New Roman"/>
          <w:noProof w:val="0"/>
          <w:sz w:val="24"/>
          <w:szCs w:val="24"/>
          <w:lang w:val="en-US"/>
        </w:rPr>
        <w:t xml:space="preserve"> computes daily log returns from adjusted closing prices. </w:t>
      </w:r>
    </w:p>
    <w:p xmlns:wp14="http://schemas.microsoft.com/office/word/2010/wordml" w:rsidP="19C45076" wp14:paraId="41F24BF2" wp14:textId="68177557">
      <w:pPr>
        <w:pStyle w:val="ListParagraph"/>
        <w:numPr>
          <w:ilvl w:val="0"/>
          <w:numId w:val="6"/>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Monthly Return Aggregation and Factor Merging: Daily returns were aggregated into monthly </w:t>
      </w:r>
      <w:r w:rsidRPr="19C45076" w:rsidR="252BB620">
        <w:rPr>
          <w:rFonts w:ascii="Times New Roman" w:hAnsi="Times New Roman" w:eastAsia="Times New Roman" w:cs="Times New Roman"/>
          <w:noProof w:val="0"/>
          <w:sz w:val="24"/>
          <w:szCs w:val="24"/>
          <w:lang w:val="en-US"/>
        </w:rPr>
        <w:t>log</w:t>
      </w:r>
      <w:r w:rsidRPr="19C45076" w:rsidR="252BB620">
        <w:rPr>
          <w:rFonts w:ascii="Times New Roman" w:hAnsi="Times New Roman" w:eastAsia="Times New Roman" w:cs="Times New Roman"/>
          <w:noProof w:val="0"/>
          <w:sz w:val="24"/>
          <w:szCs w:val="24"/>
          <w:lang w:val="en-US"/>
        </w:rPr>
        <w:t xml:space="preserve"> returns. These monthly returns were merged with the Fama-French and momentum factor datasets for further modeling. </w:t>
      </w:r>
    </w:p>
    <w:p xmlns:wp14="http://schemas.microsoft.com/office/word/2010/wordml" w:rsidP="19C45076" wp14:paraId="762222CA" wp14:textId="52B29B06">
      <w:pPr>
        <w:pStyle w:val="ListParagraph"/>
        <w:numPr>
          <w:ilvl w:val="0"/>
          <w:numId w:val="6"/>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To directly estimate beta, a refined return function </w:t>
      </w:r>
      <w:r w:rsidRPr="19C45076" w:rsidR="252BB620">
        <w:rPr>
          <w:rFonts w:ascii="Times New Roman" w:hAnsi="Times New Roman" w:eastAsia="Times New Roman" w:cs="Times New Roman"/>
          <w:i w:val="1"/>
          <w:iCs w:val="1"/>
          <w:noProof w:val="0"/>
          <w:sz w:val="24"/>
          <w:szCs w:val="24"/>
          <w:lang w:val="en-US"/>
        </w:rPr>
        <w:t>dretplus</w:t>
      </w:r>
      <w:r w:rsidRPr="19C45076" w:rsidR="252BB620">
        <w:rPr>
          <w:rFonts w:ascii="Times New Roman" w:hAnsi="Times New Roman" w:eastAsia="Times New Roman" w:cs="Times New Roman"/>
          <w:i w:val="1"/>
          <w:iCs w:val="1"/>
          <w:noProof w:val="0"/>
          <w:sz w:val="24"/>
          <w:szCs w:val="24"/>
          <w:lang w:val="en-US"/>
        </w:rPr>
        <w:t>()</w:t>
      </w:r>
      <w:r w:rsidRPr="19C45076" w:rsidR="252BB620">
        <w:rPr>
          <w:rFonts w:ascii="Times New Roman" w:hAnsi="Times New Roman" w:eastAsia="Times New Roman" w:cs="Times New Roman"/>
          <w:noProof w:val="0"/>
          <w:sz w:val="24"/>
          <w:szCs w:val="24"/>
          <w:lang w:val="en-US"/>
        </w:rPr>
        <w:t xml:space="preserve"> is used to generate daily log returns over a specified period. </w:t>
      </w:r>
    </w:p>
    <w:p xmlns:wp14="http://schemas.microsoft.com/office/word/2010/wordml" w:rsidP="19C45076" wp14:paraId="66E03C9C" wp14:textId="2677B0DF">
      <w:pPr>
        <w:pStyle w:val="ListParagraph"/>
        <w:numPr>
          <w:ilvl w:val="0"/>
          <w:numId w:val="6"/>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Using a function called </w:t>
      </w:r>
      <w:r w:rsidRPr="19C45076" w:rsidR="252BB620">
        <w:rPr>
          <w:rFonts w:ascii="Times New Roman" w:hAnsi="Times New Roman" w:eastAsia="Times New Roman" w:cs="Times New Roman"/>
          <w:i w:val="1"/>
          <w:iCs w:val="1"/>
          <w:noProof w:val="0"/>
          <w:sz w:val="24"/>
          <w:szCs w:val="24"/>
          <w:lang w:val="en-US"/>
        </w:rPr>
        <w:t>PricingModel</w:t>
      </w:r>
      <w:r w:rsidRPr="19C45076" w:rsidR="252BB620">
        <w:rPr>
          <w:rFonts w:ascii="Times New Roman" w:hAnsi="Times New Roman" w:eastAsia="Times New Roman" w:cs="Times New Roman"/>
          <w:noProof w:val="0"/>
          <w:sz w:val="24"/>
          <w:szCs w:val="24"/>
          <w:lang w:val="en-US"/>
        </w:rPr>
        <w:t xml:space="preserve">, we automated the retrieval and processing of stock price data and integrated it with established asset pricing models. </w:t>
      </w:r>
    </w:p>
    <w:p xmlns:wp14="http://schemas.microsoft.com/office/word/2010/wordml" w:rsidP="19C45076" wp14:paraId="0A5FAB6F" wp14:textId="53C101A0">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2A6CCF8">
        <w:rPr>
          <w:rFonts w:ascii="Times New Roman" w:hAnsi="Times New Roman" w:eastAsia="Times New Roman" w:cs="Times New Roman"/>
          <w:i w:val="1"/>
          <w:iCs w:val="1"/>
          <w:noProof w:val="0"/>
          <w:sz w:val="24"/>
          <w:szCs w:val="24"/>
          <w:lang w:val="en-US"/>
        </w:rPr>
        <w:t>Model</w:t>
      </w:r>
      <w:r w:rsidRPr="19C45076" w:rsidR="252BB620">
        <w:rPr>
          <w:rFonts w:ascii="Times New Roman" w:hAnsi="Times New Roman" w:eastAsia="Times New Roman" w:cs="Times New Roman"/>
          <w:i w:val="1"/>
          <w:iCs w:val="1"/>
          <w:noProof w:val="0"/>
          <w:sz w:val="24"/>
          <w:szCs w:val="24"/>
          <w:lang w:val="en-US"/>
        </w:rPr>
        <w:t xml:space="preserve">: </w:t>
      </w:r>
    </w:p>
    <w:p xmlns:wp14="http://schemas.microsoft.com/office/word/2010/wordml" w:rsidP="19C45076" wp14:paraId="133E0F6B" wp14:textId="03037AE8">
      <w:pPr>
        <w:pStyle w:val="ListParagraph"/>
        <w:numPr>
          <w:ilvl w:val="0"/>
          <w:numId w:val="7"/>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CAPM: A simple linear regression was performed using the market excess return (MKT-RF) as the independent variable and the stock’s excess return (monthly log return minus risk-free rate) as the dependent variable. </w:t>
      </w:r>
    </w:p>
    <w:p xmlns:wp14="http://schemas.microsoft.com/office/word/2010/wordml" w:rsidP="19C45076" wp14:paraId="479C5955" wp14:textId="63F48DB9">
      <w:pPr>
        <w:pStyle w:val="ListParagraph"/>
        <w:numPr>
          <w:ilvl w:val="0"/>
          <w:numId w:val="7"/>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Fama-French 5-Factor Model: A multivariate linear regression was run using the five Fama-French factors (MKT-RF, SMB, HML, RMW, CMA) as predictors for the stock’s excess return. </w:t>
      </w:r>
    </w:p>
    <w:p xmlns:wp14="http://schemas.microsoft.com/office/word/2010/wordml" w:rsidP="19C45076" wp14:paraId="0DEC8499" wp14:textId="2CA08FC5">
      <w:pPr>
        <w:spacing w:before="240" w:beforeAutospacing="off" w:after="240" w:afterAutospacing="off" w:line="480" w:lineRule="auto"/>
        <w:rPr>
          <w:rFonts w:ascii="Times New Roman" w:hAnsi="Times New Roman" w:eastAsia="Times New Roman" w:cs="Times New Roman"/>
          <w:b w:val="1"/>
          <w:bCs w:val="1"/>
          <w:noProof w:val="0"/>
          <w:sz w:val="28"/>
          <w:szCs w:val="28"/>
          <w:lang w:val="en-US"/>
        </w:rPr>
      </w:pPr>
      <w:r w:rsidRPr="19C45076" w:rsidR="375611E3">
        <w:rPr>
          <w:rFonts w:ascii="Times New Roman" w:hAnsi="Times New Roman" w:eastAsia="Times New Roman" w:cs="Times New Roman"/>
          <w:b w:val="1"/>
          <w:bCs w:val="1"/>
          <w:noProof w:val="0"/>
          <w:sz w:val="28"/>
          <w:szCs w:val="28"/>
          <w:lang w:val="en-US"/>
        </w:rPr>
        <w:t xml:space="preserve">3. </w:t>
      </w:r>
      <w:r w:rsidRPr="19C45076" w:rsidR="252BB620">
        <w:rPr>
          <w:rFonts w:ascii="Times New Roman" w:hAnsi="Times New Roman" w:eastAsia="Times New Roman" w:cs="Times New Roman"/>
          <w:b w:val="1"/>
          <w:bCs w:val="1"/>
          <w:noProof w:val="0"/>
          <w:sz w:val="28"/>
          <w:szCs w:val="28"/>
          <w:lang w:val="en-US"/>
        </w:rPr>
        <w:t>Results</w:t>
      </w:r>
    </w:p>
    <w:p xmlns:wp14="http://schemas.microsoft.com/office/word/2010/wordml" w:rsidP="19C45076" wp14:paraId="1A444CC6" wp14:textId="1CA3F390">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19C45076" w:rsidR="252BB620">
        <w:rPr>
          <w:rFonts w:ascii="Times New Roman" w:hAnsi="Times New Roman" w:eastAsia="Times New Roman" w:cs="Times New Roman"/>
          <w:b w:val="1"/>
          <w:bCs w:val="1"/>
          <w:noProof w:val="0"/>
          <w:sz w:val="24"/>
          <w:szCs w:val="24"/>
          <w:lang w:val="en-US"/>
        </w:rPr>
        <w:t xml:space="preserve">PART 1: AMD vs AOSL </w:t>
      </w:r>
    </w:p>
    <w:p xmlns:wp14="http://schemas.microsoft.com/office/word/2010/wordml" w:rsidP="19C45076" wp14:paraId="15DE362F" wp14:textId="09DC002B">
      <w:pPr>
        <w:pStyle w:val="ListParagraph"/>
        <w:numPr>
          <w:ilvl w:val="0"/>
          <w:numId w:val="8"/>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Advanced Micro Devices, Inc (AMD) - Larger 139.42 billion </w:t>
      </w:r>
    </w:p>
    <w:p xmlns:wp14="http://schemas.microsoft.com/office/word/2010/wordml" w:rsidP="19C45076" wp14:paraId="5FDC796D" wp14:textId="091574BE">
      <w:pPr>
        <w:pStyle w:val="ListParagraph"/>
        <w:numPr>
          <w:ilvl w:val="0"/>
          <w:numId w:val="8"/>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Alpha and Omega Semiconductor Limited (AOSL) - Small 479.76 million </w:t>
      </w:r>
    </w:p>
    <w:p xmlns:wp14="http://schemas.microsoft.com/office/word/2010/wordml" w:rsidP="19C45076" wp14:paraId="53AFC55A" wp14:textId="7D24E028">
      <w:pPr>
        <w:spacing w:before="240" w:beforeAutospacing="off" w:after="240" w:afterAutospacing="off" w:line="480" w:lineRule="auto"/>
        <w:jc w:val="center"/>
        <w:rPr>
          <w:rFonts w:ascii="Times New Roman" w:hAnsi="Times New Roman" w:eastAsia="Times New Roman" w:cs="Times New Roman"/>
          <w:noProof w:val="0"/>
          <w:sz w:val="24"/>
          <w:szCs w:val="24"/>
          <w:lang w:val="en-US"/>
        </w:rPr>
      </w:pPr>
      <w:r w:rsidR="5EEDEB6E">
        <w:drawing>
          <wp:inline xmlns:wp14="http://schemas.microsoft.com/office/word/2010/wordprocessingDrawing" wp14:editId="45564D23" wp14:anchorId="55416DE6">
            <wp:extent cx="4095750" cy="2457450"/>
            <wp:effectExtent l="0" t="0" r="0" b="0"/>
            <wp:docPr id="494712439" name="" descr="Picture" title=""/>
            <wp:cNvGraphicFramePr>
              <a:graphicFrameLocks noChangeAspect="1"/>
            </wp:cNvGraphicFramePr>
            <a:graphic>
              <a:graphicData uri="http://schemas.openxmlformats.org/drawingml/2006/picture">
                <pic:pic>
                  <pic:nvPicPr>
                    <pic:cNvPr id="0" name=""/>
                    <pic:cNvPicPr/>
                  </pic:nvPicPr>
                  <pic:blipFill>
                    <a:blip r:embed="Rbe98514c250444e9">
                      <a:extLst>
                        <a:ext xmlns:a="http://schemas.openxmlformats.org/drawingml/2006/main" uri="{28A0092B-C50C-407E-A947-70E740481C1C}">
                          <a14:useLocalDpi val="0"/>
                        </a:ext>
                      </a:extLst>
                    </a:blip>
                    <a:stretch>
                      <a:fillRect/>
                    </a:stretch>
                  </pic:blipFill>
                  <pic:spPr>
                    <a:xfrm>
                      <a:off x="0" y="0"/>
                      <a:ext cx="4095750" cy="2457450"/>
                    </a:xfrm>
                    <a:prstGeom prst="rect">
                      <a:avLst/>
                    </a:prstGeom>
                  </pic:spPr>
                </pic:pic>
              </a:graphicData>
            </a:graphic>
          </wp:inline>
        </w:drawing>
      </w:r>
      <w:r>
        <w:br/>
      </w:r>
      <w:r w:rsidRPr="19C45076" w:rsidR="252BB620">
        <w:rPr>
          <w:rFonts w:ascii="Times New Roman" w:hAnsi="Times New Roman" w:eastAsia="Times New Roman" w:cs="Times New Roman"/>
          <w:noProof w:val="0"/>
          <w:sz w:val="24"/>
          <w:szCs w:val="24"/>
          <w:lang w:val="en-US"/>
        </w:rPr>
        <w:t xml:space="preserve">Figure 1 </w:t>
      </w:r>
    </w:p>
    <w:p xmlns:wp14="http://schemas.microsoft.com/office/word/2010/wordml" w:rsidP="19C45076" wp14:paraId="69925F88" wp14:textId="6AC880A1">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AMD was extremely market-sensitive before COVID but became more stable afterward. </w:t>
      </w:r>
    </w:p>
    <w:p xmlns:wp14="http://schemas.microsoft.com/office/word/2010/wordml" w:rsidP="19C45076" wp14:paraId="5313D363" wp14:textId="4138D8E1">
      <w:pPr>
        <w:pStyle w:val="ListParagraph"/>
        <w:numPr>
          <w:ilvl w:val="0"/>
          <w:numId w:val="9"/>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The SMB </w:t>
      </w:r>
      <w:r w:rsidRPr="19C45076" w:rsidR="252BB620">
        <w:rPr>
          <w:rFonts w:ascii="Times New Roman" w:hAnsi="Times New Roman" w:eastAsia="Times New Roman" w:cs="Times New Roman"/>
          <w:noProof w:val="0"/>
          <w:sz w:val="24"/>
          <w:szCs w:val="24"/>
          <w:lang w:val="en-US"/>
        </w:rPr>
        <w:t>indicates</w:t>
      </w:r>
      <w:r w:rsidRPr="19C45076" w:rsidR="252BB620">
        <w:rPr>
          <w:rFonts w:ascii="Times New Roman" w:hAnsi="Times New Roman" w:eastAsia="Times New Roman" w:cs="Times New Roman"/>
          <w:noProof w:val="0"/>
          <w:sz w:val="24"/>
          <w:szCs w:val="24"/>
          <w:lang w:val="en-US"/>
        </w:rPr>
        <w:t xml:space="preserve"> that AMD behaved more like a large-cap stock, especially before and during Covid. After Covid, it slightly moved toward small-cap characteristics. </w:t>
      </w:r>
    </w:p>
    <w:p xmlns:wp14="http://schemas.microsoft.com/office/word/2010/wordml" w:rsidP="19C45076" wp14:paraId="23EC8587" wp14:textId="59310B29">
      <w:pPr>
        <w:pStyle w:val="ListParagraph"/>
        <w:numPr>
          <w:ilvl w:val="0"/>
          <w:numId w:val="10"/>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The HML indicates AMD acted like a growth stock (negative loading on value factor) the entire time. </w:t>
      </w:r>
    </w:p>
    <w:p xmlns:wp14="http://schemas.microsoft.com/office/word/2010/wordml" w:rsidP="19C45076" wp14:paraId="376FD3A7" wp14:textId="74AB3723">
      <w:pPr>
        <w:pStyle w:val="ListParagraph"/>
        <w:numPr>
          <w:ilvl w:val="0"/>
          <w:numId w:val="1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The RMW indicates AMD’s profitability story improved post-Covid. </w:t>
      </w:r>
    </w:p>
    <w:p xmlns:wp14="http://schemas.microsoft.com/office/word/2010/wordml" w:rsidP="19C45076" wp14:paraId="42C23BCE" wp14:textId="597F9F13">
      <w:pPr>
        <w:pStyle w:val="ListParagraph"/>
        <w:numPr>
          <w:ilvl w:val="0"/>
          <w:numId w:val="12"/>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The CMA </w:t>
      </w:r>
      <w:r w:rsidRPr="19C45076" w:rsidR="252BB620">
        <w:rPr>
          <w:rFonts w:ascii="Times New Roman" w:hAnsi="Times New Roman" w:eastAsia="Times New Roman" w:cs="Times New Roman"/>
          <w:noProof w:val="0"/>
          <w:sz w:val="24"/>
          <w:szCs w:val="24"/>
          <w:lang w:val="en-US"/>
        </w:rPr>
        <w:t>indicates</w:t>
      </w:r>
      <w:r w:rsidRPr="19C45076" w:rsidR="252BB620">
        <w:rPr>
          <w:rFonts w:ascii="Times New Roman" w:hAnsi="Times New Roman" w:eastAsia="Times New Roman" w:cs="Times New Roman"/>
          <w:noProof w:val="0"/>
          <w:sz w:val="24"/>
          <w:szCs w:val="24"/>
          <w:lang w:val="en-US"/>
        </w:rPr>
        <w:t xml:space="preserve"> AMD started behaving more like an aggressive investor post-COVID (taking more investment risks) </w:t>
      </w:r>
    </w:p>
    <w:p xmlns:wp14="http://schemas.microsoft.com/office/word/2010/wordml" w:rsidP="19C45076" wp14:paraId="6592C0CE" wp14:textId="122589E2">
      <w:pPr>
        <w:spacing w:before="240" w:beforeAutospacing="off" w:after="240" w:afterAutospacing="off" w:line="480" w:lineRule="auto"/>
        <w:jc w:val="center"/>
        <w:rPr>
          <w:rFonts w:ascii="Times New Roman" w:hAnsi="Times New Roman" w:eastAsia="Times New Roman" w:cs="Times New Roman"/>
          <w:noProof w:val="0"/>
          <w:sz w:val="24"/>
          <w:szCs w:val="24"/>
          <w:lang w:val="en-US"/>
        </w:rPr>
      </w:pPr>
      <w:r w:rsidR="63A98946">
        <w:drawing>
          <wp:inline xmlns:wp14="http://schemas.microsoft.com/office/word/2010/wordprocessingDrawing" wp14:editId="2A95F998" wp14:anchorId="27C12C3F">
            <wp:extent cx="4171950" cy="2486025"/>
            <wp:effectExtent l="0" t="0" r="0" b="0"/>
            <wp:docPr id="1642743302" name="" descr="Picture" title=""/>
            <wp:cNvGraphicFramePr>
              <a:graphicFrameLocks noChangeAspect="1"/>
            </wp:cNvGraphicFramePr>
            <a:graphic>
              <a:graphicData uri="http://schemas.openxmlformats.org/drawingml/2006/picture">
                <pic:pic>
                  <pic:nvPicPr>
                    <pic:cNvPr id="0" name=""/>
                    <pic:cNvPicPr/>
                  </pic:nvPicPr>
                  <pic:blipFill>
                    <a:blip r:embed="Re8978ece77ac463e">
                      <a:extLst>
                        <a:ext xmlns:a="http://schemas.openxmlformats.org/drawingml/2006/main" uri="{28A0092B-C50C-407E-A947-70E740481C1C}">
                          <a14:useLocalDpi val="0"/>
                        </a:ext>
                      </a:extLst>
                    </a:blip>
                    <a:stretch>
                      <a:fillRect/>
                    </a:stretch>
                  </pic:blipFill>
                  <pic:spPr>
                    <a:xfrm>
                      <a:off x="0" y="0"/>
                      <a:ext cx="4171950" cy="2486025"/>
                    </a:xfrm>
                    <a:prstGeom prst="rect">
                      <a:avLst/>
                    </a:prstGeom>
                  </pic:spPr>
                </pic:pic>
              </a:graphicData>
            </a:graphic>
          </wp:inline>
        </w:drawing>
      </w:r>
      <w:r>
        <w:br/>
      </w:r>
      <w:r w:rsidRPr="19C45076" w:rsidR="252BB620">
        <w:rPr>
          <w:rFonts w:ascii="Times New Roman" w:hAnsi="Times New Roman" w:eastAsia="Times New Roman" w:cs="Times New Roman"/>
          <w:noProof w:val="0"/>
          <w:sz w:val="24"/>
          <w:szCs w:val="24"/>
          <w:lang w:val="en-US"/>
        </w:rPr>
        <w:t xml:space="preserve">Figure 2 </w:t>
      </w:r>
    </w:p>
    <w:p xmlns:wp14="http://schemas.microsoft.com/office/word/2010/wordml" w:rsidP="19C45076" wp14:paraId="41099474" wp14:textId="5EDD1E0E">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AOSL is less sensitive to the overall market compared to AMD. </w:t>
      </w:r>
    </w:p>
    <w:p xmlns:wp14="http://schemas.microsoft.com/office/word/2010/wordml" w:rsidP="19C45076" wp14:paraId="0F790DEA" wp14:textId="17A6551A">
      <w:pPr>
        <w:pStyle w:val="ListParagraph"/>
        <w:numPr>
          <w:ilvl w:val="0"/>
          <w:numId w:val="13"/>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AOSL behaved very much like a small-cap stock, particularly post-COVID as </w:t>
      </w:r>
      <w:r w:rsidRPr="19C45076" w:rsidR="252BB620">
        <w:rPr>
          <w:rFonts w:ascii="Times New Roman" w:hAnsi="Times New Roman" w:eastAsia="Times New Roman" w:cs="Times New Roman"/>
          <w:noProof w:val="0"/>
          <w:sz w:val="24"/>
          <w:szCs w:val="24"/>
          <w:lang w:val="en-US"/>
        </w:rPr>
        <w:t>indicated</w:t>
      </w:r>
      <w:r w:rsidRPr="19C45076" w:rsidR="252BB620">
        <w:rPr>
          <w:rFonts w:ascii="Times New Roman" w:hAnsi="Times New Roman" w:eastAsia="Times New Roman" w:cs="Times New Roman"/>
          <w:noProof w:val="0"/>
          <w:sz w:val="24"/>
          <w:szCs w:val="24"/>
          <w:lang w:val="en-US"/>
        </w:rPr>
        <w:t xml:space="preserve"> by the SMB </w:t>
      </w:r>
    </w:p>
    <w:p xmlns:wp14="http://schemas.microsoft.com/office/word/2010/wordml" w:rsidP="19C45076" wp14:paraId="1621BAAA" wp14:textId="3EEA70EF">
      <w:pPr>
        <w:pStyle w:val="ListParagraph"/>
        <w:numPr>
          <w:ilvl w:val="0"/>
          <w:numId w:val="13"/>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The HML indicates initially value-leaning but shifts toward growth characteristics after COVID. </w:t>
      </w:r>
    </w:p>
    <w:p xmlns:wp14="http://schemas.microsoft.com/office/word/2010/wordml" w:rsidP="19C45076" wp14:paraId="36C9C841" wp14:textId="44EC4302">
      <w:pPr>
        <w:pStyle w:val="ListParagraph"/>
        <w:numPr>
          <w:ilvl w:val="0"/>
          <w:numId w:val="13"/>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The RMW indicates Profitability characteristics improved modestly post-COVID. </w:t>
      </w:r>
    </w:p>
    <w:p xmlns:wp14="http://schemas.microsoft.com/office/word/2010/wordml" w:rsidP="19C45076" wp14:paraId="38A4B5AE" wp14:textId="733D489C">
      <w:pPr>
        <w:pStyle w:val="ListParagraph"/>
        <w:numPr>
          <w:ilvl w:val="0"/>
          <w:numId w:val="13"/>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The CMA indicates AOSL became less aggressively investing post-COVID. </w:t>
      </w:r>
    </w:p>
    <w:p xmlns:wp14="http://schemas.microsoft.com/office/word/2010/wordml" w:rsidP="19C45076" wp14:paraId="27194205" wp14:textId="5B6A154E">
      <w:pPr>
        <w:spacing w:before="240" w:beforeAutospacing="off" w:after="240" w:afterAutospacing="off" w:line="480" w:lineRule="auto"/>
        <w:jc w:val="center"/>
        <w:rPr>
          <w:rFonts w:ascii="Times New Roman" w:hAnsi="Times New Roman" w:eastAsia="Times New Roman" w:cs="Times New Roman"/>
          <w:noProof w:val="0"/>
          <w:sz w:val="24"/>
          <w:szCs w:val="24"/>
          <w:lang w:val="en-US"/>
        </w:rPr>
      </w:pPr>
      <w:r w:rsidR="329D5706">
        <w:drawing>
          <wp:inline xmlns:wp14="http://schemas.microsoft.com/office/word/2010/wordprocessingDrawing" wp14:editId="0F61F7B2" wp14:anchorId="5370D7DF">
            <wp:extent cx="4676775" cy="2608202"/>
            <wp:effectExtent l="0" t="0" r="0" b="0"/>
            <wp:docPr id="1452058301" name="" title=""/>
            <wp:cNvGraphicFramePr>
              <a:graphicFrameLocks noChangeAspect="1"/>
            </wp:cNvGraphicFramePr>
            <a:graphic>
              <a:graphicData uri="http://schemas.openxmlformats.org/drawingml/2006/picture">
                <pic:pic>
                  <pic:nvPicPr>
                    <pic:cNvPr id="0" name=""/>
                    <pic:cNvPicPr/>
                  </pic:nvPicPr>
                  <pic:blipFill>
                    <a:blip r:embed="R488ec2d03ba640c9">
                      <a:extLst>
                        <a:ext xmlns:a="http://schemas.openxmlformats.org/drawingml/2006/main" uri="{28A0092B-C50C-407E-A947-70E740481C1C}">
                          <a14:useLocalDpi val="0"/>
                        </a:ext>
                      </a:extLst>
                    </a:blip>
                    <a:stretch>
                      <a:fillRect/>
                    </a:stretch>
                  </pic:blipFill>
                  <pic:spPr>
                    <a:xfrm>
                      <a:off x="0" y="0"/>
                      <a:ext cx="4676775" cy="2608202"/>
                    </a:xfrm>
                    <a:prstGeom prst="rect">
                      <a:avLst/>
                    </a:prstGeom>
                  </pic:spPr>
                </pic:pic>
              </a:graphicData>
            </a:graphic>
          </wp:inline>
        </w:drawing>
      </w:r>
      <w:r>
        <w:br/>
      </w:r>
      <w:r w:rsidRPr="19C45076" w:rsidR="252BB620">
        <w:rPr>
          <w:rFonts w:ascii="Times New Roman" w:hAnsi="Times New Roman" w:eastAsia="Times New Roman" w:cs="Times New Roman"/>
          <w:noProof w:val="0"/>
          <w:sz w:val="24"/>
          <w:szCs w:val="24"/>
          <w:lang w:val="en-US"/>
        </w:rPr>
        <w:t xml:space="preserve">Figure 3 </w:t>
      </w:r>
    </w:p>
    <w:p xmlns:wp14="http://schemas.microsoft.com/office/word/2010/wordml" w:rsidP="19C45076" wp14:paraId="5F82DDBD" wp14:textId="6151864A">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b w:val="1"/>
          <w:bCs w:val="1"/>
          <w:noProof w:val="0"/>
          <w:sz w:val="24"/>
          <w:szCs w:val="24"/>
          <w:lang w:val="en-US"/>
        </w:rPr>
        <w:t xml:space="preserve">AMD </w:t>
      </w:r>
    </w:p>
    <w:p xmlns:wp14="http://schemas.microsoft.com/office/word/2010/wordml" w:rsidP="19C45076" wp14:paraId="68B40D8C" wp14:textId="76C536A0">
      <w:pPr>
        <w:pStyle w:val="ListParagraph"/>
        <w:numPr>
          <w:ilvl w:val="0"/>
          <w:numId w:val="14"/>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Pre-COVID has a high beta of ~2.0, which drops to ~1.2 during COVID, then rises back to ~2.0 post-COVID. </w:t>
      </w:r>
    </w:p>
    <w:p xmlns:wp14="http://schemas.microsoft.com/office/word/2010/wordml" w:rsidP="19C45076" wp14:paraId="09374464" wp14:textId="4E6B14E6">
      <w:pPr>
        <w:pStyle w:val="ListParagraph"/>
        <w:numPr>
          <w:ilvl w:val="0"/>
          <w:numId w:val="14"/>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AMD’s beta dropped significantly during COVID, </w:t>
      </w:r>
      <w:r w:rsidRPr="19C45076" w:rsidR="252BB620">
        <w:rPr>
          <w:rFonts w:ascii="Times New Roman" w:hAnsi="Times New Roman" w:eastAsia="Times New Roman" w:cs="Times New Roman"/>
          <w:noProof w:val="0"/>
          <w:sz w:val="24"/>
          <w:szCs w:val="24"/>
          <w:lang w:val="en-US"/>
        </w:rPr>
        <w:t>indicating</w:t>
      </w:r>
      <w:r w:rsidRPr="19C45076" w:rsidR="252BB620">
        <w:rPr>
          <w:rFonts w:ascii="Times New Roman" w:hAnsi="Times New Roman" w:eastAsia="Times New Roman" w:cs="Times New Roman"/>
          <w:noProof w:val="0"/>
          <w:sz w:val="24"/>
          <w:szCs w:val="24"/>
          <w:lang w:val="en-US"/>
        </w:rPr>
        <w:t xml:space="preserve"> reduced sensitivity and potentially greater stability amid market uncertainty. </w:t>
      </w:r>
    </w:p>
    <w:p xmlns:wp14="http://schemas.microsoft.com/office/word/2010/wordml" w:rsidP="19C45076" wp14:paraId="4B2C644A" wp14:textId="4274C780">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b w:val="1"/>
          <w:bCs w:val="1"/>
          <w:noProof w:val="0"/>
          <w:sz w:val="24"/>
          <w:szCs w:val="24"/>
          <w:lang w:val="en-US"/>
        </w:rPr>
        <w:t xml:space="preserve">AOSL </w:t>
      </w:r>
    </w:p>
    <w:p xmlns:wp14="http://schemas.microsoft.com/office/word/2010/wordml" w:rsidP="19C45076" wp14:paraId="3C183A99" wp14:textId="27C78AC1">
      <w:pPr>
        <w:pStyle w:val="ListParagraph"/>
        <w:numPr>
          <w:ilvl w:val="0"/>
          <w:numId w:val="15"/>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Pre-COVID has a beta of ~0.8, which rises to ~1.25 during COVID and jumps further to ~2.3 post-COVID. </w:t>
      </w:r>
    </w:p>
    <w:p xmlns:wp14="http://schemas.microsoft.com/office/word/2010/wordml" w:rsidP="19C45076" wp14:paraId="2C4161D9" wp14:textId="7B98C7C2">
      <w:pPr>
        <w:pStyle w:val="ListParagraph"/>
        <w:numPr>
          <w:ilvl w:val="0"/>
          <w:numId w:val="15"/>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AOSL's beta steadily increased, highlighting growing market sensitivity and supporting the hypothesis that smaller-cap firms become more volatile during and after market shocks. </w:t>
      </w:r>
    </w:p>
    <w:p xmlns:wp14="http://schemas.microsoft.com/office/word/2010/wordml" w:rsidP="19C45076" wp14:paraId="384BB488" wp14:textId="3F0BA10B">
      <w:pPr>
        <w:spacing w:before="240" w:beforeAutospacing="off" w:after="240" w:afterAutospacing="off" w:line="480" w:lineRule="auto"/>
        <w:jc w:val="center"/>
        <w:rPr>
          <w:rFonts w:ascii="Times New Roman" w:hAnsi="Times New Roman" w:eastAsia="Times New Roman" w:cs="Times New Roman"/>
          <w:noProof w:val="0"/>
          <w:sz w:val="24"/>
          <w:szCs w:val="24"/>
          <w:lang w:val="en-US"/>
        </w:rPr>
      </w:pPr>
      <w:r w:rsidR="701A5D3C">
        <w:drawing>
          <wp:inline xmlns:wp14="http://schemas.microsoft.com/office/word/2010/wordprocessingDrawing" wp14:editId="2A6F62F0" wp14:anchorId="16E50381">
            <wp:extent cx="5448300" cy="2296319"/>
            <wp:effectExtent l="0" t="0" r="0" b="0"/>
            <wp:docPr id="303403060" name="" title=""/>
            <wp:cNvGraphicFramePr>
              <a:graphicFrameLocks noChangeAspect="1"/>
            </wp:cNvGraphicFramePr>
            <a:graphic>
              <a:graphicData uri="http://schemas.openxmlformats.org/drawingml/2006/picture">
                <pic:pic>
                  <pic:nvPicPr>
                    <pic:cNvPr id="0" name=""/>
                    <pic:cNvPicPr/>
                  </pic:nvPicPr>
                  <pic:blipFill>
                    <a:blip r:embed="R20db9aa75398414f">
                      <a:extLst>
                        <a:ext xmlns:a="http://schemas.openxmlformats.org/drawingml/2006/main" uri="{28A0092B-C50C-407E-A947-70E740481C1C}">
                          <a14:useLocalDpi val="0"/>
                        </a:ext>
                      </a:extLst>
                    </a:blip>
                    <a:stretch>
                      <a:fillRect/>
                    </a:stretch>
                  </pic:blipFill>
                  <pic:spPr>
                    <a:xfrm>
                      <a:off x="0" y="0"/>
                      <a:ext cx="5448300" cy="2296319"/>
                    </a:xfrm>
                    <a:prstGeom prst="rect">
                      <a:avLst/>
                    </a:prstGeom>
                  </pic:spPr>
                </pic:pic>
              </a:graphicData>
            </a:graphic>
          </wp:inline>
        </w:drawing>
      </w:r>
      <w:r>
        <w:br/>
      </w:r>
      <w:r w:rsidRPr="19C45076" w:rsidR="252BB620">
        <w:rPr>
          <w:rFonts w:ascii="Times New Roman" w:hAnsi="Times New Roman" w:eastAsia="Times New Roman" w:cs="Times New Roman"/>
          <w:noProof w:val="0"/>
          <w:sz w:val="24"/>
          <w:szCs w:val="24"/>
          <w:lang w:val="en-US"/>
        </w:rPr>
        <w:t xml:space="preserve">Figure 4 </w:t>
      </w:r>
    </w:p>
    <w:p xmlns:wp14="http://schemas.microsoft.com/office/word/2010/wordml" w:rsidP="19C45076" wp14:paraId="772A43C6" wp14:textId="3D4110E7">
      <w:pPr>
        <w:spacing w:before="240" w:beforeAutospacing="off" w:after="240" w:afterAutospacing="off" w:line="480" w:lineRule="auto"/>
        <w:jc w:val="center"/>
        <w:rPr>
          <w:rFonts w:ascii="Times New Roman" w:hAnsi="Times New Roman" w:eastAsia="Times New Roman" w:cs="Times New Roman"/>
          <w:noProof w:val="0"/>
          <w:sz w:val="24"/>
          <w:szCs w:val="24"/>
          <w:lang w:val="en-US"/>
        </w:rPr>
      </w:pPr>
      <w:r w:rsidR="1532454F">
        <w:drawing>
          <wp:inline xmlns:wp14="http://schemas.microsoft.com/office/word/2010/wordprocessingDrawing" wp14:editId="6EEF117C" wp14:anchorId="169D542D">
            <wp:extent cx="5400675" cy="2232972"/>
            <wp:effectExtent l="0" t="0" r="0" b="0"/>
            <wp:docPr id="1371880298" name="" title=""/>
            <wp:cNvGraphicFramePr>
              <a:graphicFrameLocks noChangeAspect="1"/>
            </wp:cNvGraphicFramePr>
            <a:graphic>
              <a:graphicData uri="http://schemas.openxmlformats.org/drawingml/2006/picture">
                <pic:pic>
                  <pic:nvPicPr>
                    <pic:cNvPr id="0" name=""/>
                    <pic:cNvPicPr/>
                  </pic:nvPicPr>
                  <pic:blipFill>
                    <a:blip r:embed="R2b7cc36ce25f4706">
                      <a:extLst>
                        <a:ext xmlns:a="http://schemas.openxmlformats.org/drawingml/2006/main" uri="{28A0092B-C50C-407E-A947-70E740481C1C}">
                          <a14:useLocalDpi val="0"/>
                        </a:ext>
                      </a:extLst>
                    </a:blip>
                    <a:stretch>
                      <a:fillRect/>
                    </a:stretch>
                  </pic:blipFill>
                  <pic:spPr>
                    <a:xfrm>
                      <a:off x="0" y="0"/>
                      <a:ext cx="5400675" cy="2232972"/>
                    </a:xfrm>
                    <a:prstGeom prst="rect">
                      <a:avLst/>
                    </a:prstGeom>
                  </pic:spPr>
                </pic:pic>
              </a:graphicData>
            </a:graphic>
          </wp:inline>
        </w:drawing>
      </w:r>
      <w:r>
        <w:br/>
      </w:r>
      <w:r w:rsidRPr="19C45076" w:rsidR="252BB620">
        <w:rPr>
          <w:rFonts w:ascii="Times New Roman" w:hAnsi="Times New Roman" w:eastAsia="Times New Roman" w:cs="Times New Roman"/>
          <w:noProof w:val="0"/>
          <w:sz w:val="24"/>
          <w:szCs w:val="24"/>
          <w:lang w:val="en-US"/>
        </w:rPr>
        <w:t xml:space="preserve">Figure 5 </w:t>
      </w:r>
    </w:p>
    <w:p xmlns:wp14="http://schemas.microsoft.com/office/word/2010/wordml" w:rsidP="19C45076" wp14:paraId="1DAAA5D8" wp14:textId="7833E44A">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As we can see, small AI-adopting firms like AOSL outperformed larger ones like AMD in the face of the COVID-19 shock. </w:t>
      </w:r>
    </w:p>
    <w:p xmlns:wp14="http://schemas.microsoft.com/office/word/2010/wordml" w:rsidP="19C45076" wp14:paraId="46D2DC50" wp14:textId="24196865">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AOSL’s high positive SMB exposure, HML, and recovery in profitability (RMW) post-COVID positioned it to capture stronger returns during the market rebound. </w:t>
      </w:r>
    </w:p>
    <w:p xmlns:wp14="http://schemas.microsoft.com/office/word/2010/wordml" w:rsidP="19C45076" wp14:paraId="51BB18E5" wp14:textId="0BF17BA3">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AMD, as a large-cap, growth-focused firm, remained more stable but did not benefit as dramatically from the crisis recovery factors. </w:t>
      </w:r>
    </w:p>
    <w:p xmlns:wp14="http://schemas.microsoft.com/office/word/2010/wordml" w:rsidP="19C45076" wp14:paraId="7B23F7D6" wp14:textId="04BCE6A7">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This can be due to multiple reasons. One reason we can predict is that small-cap companies like AOSL having a</w:t>
      </w:r>
      <w:r w:rsidRPr="19C45076" w:rsidR="252BB620">
        <w:rPr>
          <w:rFonts w:ascii="Times New Roman" w:hAnsi="Times New Roman" w:eastAsia="Times New Roman" w:cs="Times New Roman"/>
          <w:b w:val="1"/>
          <w:bCs w:val="1"/>
          <w:noProof w:val="0"/>
          <w:sz w:val="24"/>
          <w:szCs w:val="24"/>
          <w:lang w:val="en-US"/>
        </w:rPr>
        <w:t xml:space="preserve"> structural advantage:</w:t>
      </w:r>
      <w:r w:rsidRPr="19C45076" w:rsidR="252BB620">
        <w:rPr>
          <w:rFonts w:ascii="Times New Roman" w:hAnsi="Times New Roman" w:eastAsia="Times New Roman" w:cs="Times New Roman"/>
          <w:noProof w:val="0"/>
          <w:sz w:val="24"/>
          <w:szCs w:val="24"/>
          <w:lang w:val="en-US"/>
        </w:rPr>
        <w:t xml:space="preserve"> </w:t>
      </w:r>
    </w:p>
    <w:p xmlns:wp14="http://schemas.microsoft.com/office/word/2010/wordml" w:rsidP="19C45076" wp14:paraId="00BA08FC" wp14:textId="4369D6E9">
      <w:pPr>
        <w:pStyle w:val="ListParagraph"/>
        <w:numPr>
          <w:ilvl w:val="0"/>
          <w:numId w:val="16"/>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Their smaller size allowed for faster decision-making and quicker pivoting to </w:t>
      </w:r>
      <w:r w:rsidRPr="19C45076" w:rsidR="252BB620">
        <w:rPr>
          <w:rFonts w:ascii="Times New Roman" w:hAnsi="Times New Roman" w:eastAsia="Times New Roman" w:cs="Times New Roman"/>
          <w:noProof w:val="0"/>
          <w:sz w:val="24"/>
          <w:szCs w:val="24"/>
          <w:lang w:val="en-US"/>
        </w:rPr>
        <w:t>new technologies</w:t>
      </w:r>
      <w:r w:rsidRPr="19C45076" w:rsidR="252BB620">
        <w:rPr>
          <w:rFonts w:ascii="Times New Roman" w:hAnsi="Times New Roman" w:eastAsia="Times New Roman" w:cs="Times New Roman"/>
          <w:noProof w:val="0"/>
          <w:sz w:val="24"/>
          <w:szCs w:val="24"/>
          <w:lang w:val="en-US"/>
        </w:rPr>
        <w:t xml:space="preserve"> and supply chain adjustments. </w:t>
      </w:r>
    </w:p>
    <w:p xmlns:wp14="http://schemas.microsoft.com/office/word/2010/wordml" w:rsidP="19C45076" wp14:paraId="522BD40E" wp14:textId="379EBD83">
      <w:pPr>
        <w:pStyle w:val="ListParagraph"/>
        <w:numPr>
          <w:ilvl w:val="0"/>
          <w:numId w:val="16"/>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Their early adoption and integration of AI, particularly for </w:t>
      </w:r>
      <w:r w:rsidRPr="19C45076" w:rsidR="252BB620">
        <w:rPr>
          <w:rFonts w:ascii="Times New Roman" w:hAnsi="Times New Roman" w:eastAsia="Times New Roman" w:cs="Times New Roman"/>
          <w:noProof w:val="0"/>
          <w:sz w:val="24"/>
          <w:szCs w:val="24"/>
          <w:lang w:val="en-US"/>
        </w:rPr>
        <w:t>optimizing</w:t>
      </w:r>
      <w:r w:rsidRPr="19C45076" w:rsidR="252BB620">
        <w:rPr>
          <w:rFonts w:ascii="Times New Roman" w:hAnsi="Times New Roman" w:eastAsia="Times New Roman" w:cs="Times New Roman"/>
          <w:noProof w:val="0"/>
          <w:sz w:val="24"/>
          <w:szCs w:val="24"/>
          <w:lang w:val="en-US"/>
        </w:rPr>
        <w:t xml:space="preserve"> operations, manufacturing processes, and predictive analytics, positioned them to be more resilient and opportunistic during volatile times. </w:t>
      </w:r>
    </w:p>
    <w:p xmlns:wp14="http://schemas.microsoft.com/office/word/2010/wordml" w:rsidP="19C45076" wp14:paraId="3110FE78" wp14:textId="75ECC2E5">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Meanwhile, larger firms like AMD, while leaders in AI at the chip design and infrastructure level, faced greater inertia: </w:t>
      </w:r>
    </w:p>
    <w:p xmlns:wp14="http://schemas.microsoft.com/office/word/2010/wordml" w:rsidP="19C45076" wp14:paraId="5B58FC3F" wp14:textId="25336079">
      <w:pPr>
        <w:pStyle w:val="ListParagraph"/>
        <w:numPr>
          <w:ilvl w:val="0"/>
          <w:numId w:val="17"/>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Their global scale and more complex operations made them slower to adjust to pandemic disruptions. </w:t>
      </w:r>
    </w:p>
    <w:p xmlns:wp14="http://schemas.microsoft.com/office/word/2010/wordml" w:rsidP="19C45076" wp14:paraId="3C6ED978" wp14:textId="42EF82BE">
      <w:pPr>
        <w:pStyle w:val="ListParagraph"/>
        <w:numPr>
          <w:ilvl w:val="0"/>
          <w:numId w:val="17"/>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Larger firms often have existing legacy systems that make it harder to fully </w:t>
      </w:r>
      <w:r w:rsidRPr="19C45076" w:rsidR="252BB620">
        <w:rPr>
          <w:rFonts w:ascii="Times New Roman" w:hAnsi="Times New Roman" w:eastAsia="Times New Roman" w:cs="Times New Roman"/>
          <w:noProof w:val="0"/>
          <w:sz w:val="24"/>
          <w:szCs w:val="24"/>
          <w:lang w:val="en-US"/>
        </w:rPr>
        <w:t>leverage</w:t>
      </w:r>
      <w:r w:rsidRPr="19C45076" w:rsidR="252BB620">
        <w:rPr>
          <w:rFonts w:ascii="Times New Roman" w:hAnsi="Times New Roman" w:eastAsia="Times New Roman" w:cs="Times New Roman"/>
          <w:noProof w:val="0"/>
          <w:sz w:val="24"/>
          <w:szCs w:val="24"/>
          <w:lang w:val="en-US"/>
        </w:rPr>
        <w:t xml:space="preserve"> AI across all business units quickly during crisis. </w:t>
      </w:r>
    </w:p>
    <w:p xmlns:wp14="http://schemas.microsoft.com/office/word/2010/wordml" w:rsidP="19C45076" wp14:paraId="1CFAA779" wp14:textId="34AC7D6E">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19C45076" w:rsidR="252BB620">
        <w:rPr>
          <w:rFonts w:ascii="Times New Roman" w:hAnsi="Times New Roman" w:eastAsia="Times New Roman" w:cs="Times New Roman"/>
          <w:b w:val="1"/>
          <w:bCs w:val="1"/>
          <w:noProof w:val="0"/>
          <w:sz w:val="24"/>
          <w:szCs w:val="24"/>
          <w:lang w:val="en-US"/>
        </w:rPr>
        <w:t xml:space="preserve">PART 2: CAMP and Fama French Model results for all 6 companies: </w:t>
      </w:r>
    </w:p>
    <w:p xmlns:wp14="http://schemas.microsoft.com/office/word/2010/wordml" w:rsidP="19C45076" wp14:paraId="7B183708" wp14:textId="304D7CA8">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Although for our case study we </w:t>
      </w:r>
      <w:r w:rsidRPr="19C45076" w:rsidR="252BB620">
        <w:rPr>
          <w:rFonts w:ascii="Times New Roman" w:hAnsi="Times New Roman" w:eastAsia="Times New Roman" w:cs="Times New Roman"/>
          <w:noProof w:val="0"/>
          <w:sz w:val="24"/>
          <w:szCs w:val="24"/>
          <w:lang w:val="en-US"/>
        </w:rPr>
        <w:t>mainly focus</w:t>
      </w:r>
      <w:r w:rsidRPr="19C45076" w:rsidR="252BB620">
        <w:rPr>
          <w:rFonts w:ascii="Times New Roman" w:hAnsi="Times New Roman" w:eastAsia="Times New Roman" w:cs="Times New Roman"/>
          <w:noProof w:val="0"/>
          <w:sz w:val="24"/>
          <w:szCs w:val="24"/>
          <w:lang w:val="en-US"/>
        </w:rPr>
        <w:t xml:space="preserve"> on AOSL vs AMD, we can still look at results of all our company results from CAPM and FF5FM: </w:t>
      </w:r>
    </w:p>
    <w:p xmlns:wp14="http://schemas.microsoft.com/office/word/2010/wordml" w:rsidP="19C45076" wp14:paraId="555E3F60" wp14:textId="3336C895">
      <w:pPr>
        <w:spacing w:before="240" w:beforeAutospacing="off" w:after="240" w:afterAutospacing="off" w:line="480" w:lineRule="auto"/>
        <w:jc w:val="center"/>
        <w:rPr>
          <w:rFonts w:ascii="Times New Roman" w:hAnsi="Times New Roman" w:eastAsia="Times New Roman" w:cs="Times New Roman"/>
          <w:noProof w:val="0"/>
          <w:sz w:val="24"/>
          <w:szCs w:val="24"/>
          <w:lang w:val="en-US"/>
        </w:rPr>
      </w:pPr>
      <w:r w:rsidR="7FFFA8B1">
        <w:drawing>
          <wp:inline xmlns:wp14="http://schemas.microsoft.com/office/word/2010/wordprocessingDrawing" wp14:editId="510178E1" wp14:anchorId="575D3BB9">
            <wp:extent cx="5943600" cy="1971675"/>
            <wp:effectExtent l="0" t="0" r="0" b="0"/>
            <wp:docPr id="1722824733" name="" title=""/>
            <wp:cNvGraphicFramePr>
              <a:graphicFrameLocks noChangeAspect="1"/>
            </wp:cNvGraphicFramePr>
            <a:graphic>
              <a:graphicData uri="http://schemas.openxmlformats.org/drawingml/2006/picture">
                <pic:pic>
                  <pic:nvPicPr>
                    <pic:cNvPr id="0" name=""/>
                    <pic:cNvPicPr/>
                  </pic:nvPicPr>
                  <pic:blipFill>
                    <a:blip r:embed="Rf3f8b8a223fe4fd4">
                      <a:extLst>
                        <a:ext xmlns:a="http://schemas.openxmlformats.org/drawingml/2006/main" uri="{28A0092B-C50C-407E-A947-70E740481C1C}">
                          <a14:useLocalDpi val="0"/>
                        </a:ext>
                      </a:extLst>
                    </a:blip>
                    <a:stretch>
                      <a:fillRect/>
                    </a:stretch>
                  </pic:blipFill>
                  <pic:spPr>
                    <a:xfrm>
                      <a:off x="0" y="0"/>
                      <a:ext cx="5943600" cy="1971675"/>
                    </a:xfrm>
                    <a:prstGeom prst="rect">
                      <a:avLst/>
                    </a:prstGeom>
                  </pic:spPr>
                </pic:pic>
              </a:graphicData>
            </a:graphic>
          </wp:inline>
        </w:drawing>
      </w:r>
      <w:r w:rsidRPr="19C45076" w:rsidR="7FFFA8B1">
        <w:rPr>
          <w:rFonts w:ascii="Times New Roman" w:hAnsi="Times New Roman" w:eastAsia="Times New Roman" w:cs="Times New Roman"/>
          <w:noProof w:val="0"/>
          <w:sz w:val="24"/>
          <w:szCs w:val="24"/>
          <w:lang w:val="en-US"/>
        </w:rPr>
        <w:t>Table 1</w:t>
      </w:r>
    </w:p>
    <w:p xmlns:wp14="http://schemas.microsoft.com/office/word/2010/wordml" w:rsidP="19C45076" wp14:paraId="5174EA19" wp14:textId="7290DBBC">
      <w:pPr>
        <w:pStyle w:val="Normal"/>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Based on these results we can still gain a couple of insights: </w:t>
      </w:r>
    </w:p>
    <w:p xmlns:wp14="http://schemas.microsoft.com/office/word/2010/wordml" w:rsidP="19C45076" wp14:paraId="06A2ADC0" wp14:textId="66D6A99D">
      <w:pPr>
        <w:spacing w:before="240" w:beforeAutospacing="off" w:after="240" w:afterAutospacing="off" w:line="480" w:lineRule="auto"/>
        <w:rPr>
          <w:rFonts w:ascii="Times New Roman" w:hAnsi="Times New Roman" w:eastAsia="Times New Roman" w:cs="Times New Roman"/>
          <w:i w:val="1"/>
          <w:iCs w:val="1"/>
          <w:noProof w:val="0"/>
          <w:sz w:val="24"/>
          <w:szCs w:val="24"/>
          <w:lang w:val="en-US"/>
        </w:rPr>
      </w:pPr>
      <w:r w:rsidRPr="19C45076" w:rsidR="252BB620">
        <w:rPr>
          <w:rFonts w:ascii="Times New Roman" w:hAnsi="Times New Roman" w:eastAsia="Times New Roman" w:cs="Times New Roman"/>
          <w:i w:val="1"/>
          <w:iCs w:val="1"/>
          <w:noProof w:val="0"/>
          <w:sz w:val="24"/>
          <w:szCs w:val="24"/>
          <w:lang w:val="en-US"/>
        </w:rPr>
        <w:t xml:space="preserve">CAPM Beta (Market Sensitivity) </w:t>
      </w:r>
    </w:p>
    <w:p xmlns:wp14="http://schemas.microsoft.com/office/word/2010/wordml" w:rsidP="19C45076" wp14:paraId="6BE2AD05" wp14:textId="47BC1985">
      <w:pPr>
        <w:pStyle w:val="ListParagraph"/>
        <w:numPr>
          <w:ilvl w:val="0"/>
          <w:numId w:val="18"/>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MX: Beta remained stable (~1.07), </w:t>
      </w:r>
      <w:r w:rsidRPr="19C45076" w:rsidR="252BB620">
        <w:rPr>
          <w:rFonts w:ascii="Times New Roman" w:hAnsi="Times New Roman" w:eastAsia="Times New Roman" w:cs="Times New Roman"/>
          <w:noProof w:val="0"/>
          <w:sz w:val="24"/>
          <w:szCs w:val="24"/>
          <w:lang w:val="en-US"/>
        </w:rPr>
        <w:t>indicating</w:t>
      </w:r>
      <w:r w:rsidRPr="19C45076" w:rsidR="252BB620">
        <w:rPr>
          <w:rFonts w:ascii="Times New Roman" w:hAnsi="Times New Roman" w:eastAsia="Times New Roman" w:cs="Times New Roman"/>
          <w:noProof w:val="0"/>
          <w:sz w:val="24"/>
          <w:szCs w:val="24"/>
          <w:lang w:val="en-US"/>
        </w:rPr>
        <w:t xml:space="preserve"> moderate market sensitivity. </w:t>
      </w:r>
    </w:p>
    <w:p xmlns:wp14="http://schemas.microsoft.com/office/word/2010/wordml" w:rsidP="19C45076" wp14:paraId="5F528A51" wp14:textId="6552CABD">
      <w:pPr>
        <w:pStyle w:val="ListParagraph"/>
        <w:numPr>
          <w:ilvl w:val="0"/>
          <w:numId w:val="18"/>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WOLF: Beta increased from 1.25 (pre) to 2.18 (post), showing high and rising sensitivity.</w:t>
      </w:r>
    </w:p>
    <w:p xmlns:wp14="http://schemas.microsoft.com/office/word/2010/wordml" w:rsidP="19C45076" wp14:paraId="1DEE3A58" wp14:textId="648B772D">
      <w:pPr>
        <w:pStyle w:val="ListParagraph"/>
        <w:numPr>
          <w:ilvl w:val="0"/>
          <w:numId w:val="18"/>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QCOM &amp; INTC: Moderate increase in beta, but lower than WOLF in post-COVID. </w:t>
      </w:r>
    </w:p>
    <w:p xmlns:wp14="http://schemas.microsoft.com/office/word/2010/wordml" w:rsidP="19C45076" wp14:paraId="57B5E797" wp14:textId="4B765356">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We can conclude small-cap stocks showed higher or increasing market sensitivity, especially WOLF. </w:t>
      </w:r>
    </w:p>
    <w:p xmlns:wp14="http://schemas.microsoft.com/office/word/2010/wordml" w:rsidP="19C45076" wp14:paraId="4D23EDBE" wp14:textId="2B83D974">
      <w:pPr>
        <w:spacing w:before="240" w:beforeAutospacing="off" w:after="240" w:afterAutospacing="off" w:line="480" w:lineRule="auto"/>
        <w:rPr>
          <w:rFonts w:ascii="Times New Roman" w:hAnsi="Times New Roman" w:eastAsia="Times New Roman" w:cs="Times New Roman"/>
          <w:i w:val="1"/>
          <w:iCs w:val="1"/>
          <w:noProof w:val="0"/>
          <w:sz w:val="24"/>
          <w:szCs w:val="24"/>
          <w:lang w:val="en-US"/>
        </w:rPr>
      </w:pPr>
      <w:r w:rsidRPr="19C45076" w:rsidR="252BB620">
        <w:rPr>
          <w:rFonts w:ascii="Times New Roman" w:hAnsi="Times New Roman" w:eastAsia="Times New Roman" w:cs="Times New Roman"/>
          <w:i w:val="1"/>
          <w:iCs w:val="1"/>
          <w:noProof w:val="0"/>
          <w:sz w:val="24"/>
          <w:szCs w:val="24"/>
          <w:lang w:val="en-US"/>
        </w:rPr>
        <w:t xml:space="preserve">SMB Factor (Size Premium): </w:t>
      </w:r>
    </w:p>
    <w:p xmlns:wp14="http://schemas.microsoft.com/office/word/2010/wordml" w:rsidP="19C45076" wp14:paraId="2FF5F52F" wp14:textId="48548EE7">
      <w:pPr>
        <w:pStyle w:val="ListParagraph"/>
        <w:numPr>
          <w:ilvl w:val="0"/>
          <w:numId w:val="19"/>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MX: SMB turned positive during COVID (+0.1373) from negative SMB during pre-covid. </w:t>
      </w:r>
    </w:p>
    <w:p xmlns:wp14="http://schemas.microsoft.com/office/word/2010/wordml" w:rsidP="19C45076" wp14:paraId="490A27F0" wp14:textId="4E6E081B">
      <w:pPr>
        <w:pStyle w:val="ListParagraph"/>
        <w:numPr>
          <w:ilvl w:val="0"/>
          <w:numId w:val="19"/>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WOLF: SMB was strongly positive pre-</w:t>
      </w:r>
      <w:r w:rsidRPr="19C45076" w:rsidR="4F8BB8EC">
        <w:rPr>
          <w:rFonts w:ascii="Times New Roman" w:hAnsi="Times New Roman" w:eastAsia="Times New Roman" w:cs="Times New Roman"/>
          <w:noProof w:val="0"/>
          <w:sz w:val="24"/>
          <w:szCs w:val="24"/>
          <w:lang w:val="en-US"/>
        </w:rPr>
        <w:t xml:space="preserve">Covid but </w:t>
      </w:r>
      <w:r w:rsidRPr="19C45076" w:rsidR="252BB620">
        <w:rPr>
          <w:rFonts w:ascii="Times New Roman" w:hAnsi="Times New Roman" w:eastAsia="Times New Roman" w:cs="Times New Roman"/>
          <w:noProof w:val="0"/>
          <w:sz w:val="24"/>
          <w:szCs w:val="24"/>
          <w:lang w:val="en-US"/>
        </w:rPr>
        <w:t xml:space="preserve">became highly negative during covid. </w:t>
      </w:r>
    </w:p>
    <w:p xmlns:wp14="http://schemas.microsoft.com/office/word/2010/wordml" w:rsidP="19C45076" wp14:paraId="2832550C" wp14:textId="64FE43BC">
      <w:pPr>
        <w:pStyle w:val="ListParagraph"/>
        <w:numPr>
          <w:ilvl w:val="0"/>
          <w:numId w:val="19"/>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QCOM &amp; INTC: SMB mostly positive during/post, implying small-cap underperformance. </w:t>
      </w:r>
    </w:p>
    <w:p xmlns:wp14="http://schemas.microsoft.com/office/word/2010/wordml" w:rsidP="19C45076" wp14:paraId="21C813B1" wp14:textId="7368AED2">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SMB </w:t>
      </w:r>
      <w:r w:rsidRPr="19C45076" w:rsidR="252BB620">
        <w:rPr>
          <w:rFonts w:ascii="Times New Roman" w:hAnsi="Times New Roman" w:eastAsia="Times New Roman" w:cs="Times New Roman"/>
          <w:noProof w:val="0"/>
          <w:sz w:val="24"/>
          <w:szCs w:val="24"/>
          <w:lang w:val="en-US"/>
        </w:rPr>
        <w:t>indicates</w:t>
      </w:r>
      <w:r w:rsidRPr="19C45076" w:rsidR="252BB620">
        <w:rPr>
          <w:rFonts w:ascii="Times New Roman" w:hAnsi="Times New Roman" w:eastAsia="Times New Roman" w:cs="Times New Roman"/>
          <w:noProof w:val="0"/>
          <w:sz w:val="24"/>
          <w:szCs w:val="24"/>
          <w:lang w:val="en-US"/>
        </w:rPr>
        <w:t xml:space="preserve"> small-cap did not consistently outperform large-cap, especially for WOLF even though for MX it did. </w:t>
      </w:r>
    </w:p>
    <w:p xmlns:wp14="http://schemas.microsoft.com/office/word/2010/wordml" w:rsidP="19C45076" wp14:paraId="2A19351E" wp14:textId="5C8E648A">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i w:val="1"/>
          <w:iCs w:val="1"/>
          <w:noProof w:val="0"/>
          <w:sz w:val="24"/>
          <w:szCs w:val="24"/>
          <w:lang w:val="en-US"/>
        </w:rPr>
        <w:t xml:space="preserve">HML </w:t>
      </w:r>
    </w:p>
    <w:p xmlns:wp14="http://schemas.microsoft.com/office/word/2010/wordml" w:rsidP="19C45076" wp14:paraId="179DF99D" wp14:textId="1311B7E5">
      <w:pPr>
        <w:pStyle w:val="ListParagraph"/>
        <w:numPr>
          <w:ilvl w:val="0"/>
          <w:numId w:val="20"/>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MX: Pre-COVID: –0.2906 (growth tilt) to –0.3002 (still growth) during covid and post-covid (–0.3036 (growth)) </w:t>
      </w:r>
    </w:p>
    <w:p xmlns:wp14="http://schemas.microsoft.com/office/word/2010/wordml" w:rsidP="19C45076" wp14:paraId="5B893A02" wp14:textId="2AFD0CA4">
      <w:pPr>
        <w:pStyle w:val="ListParagraph"/>
        <w:numPr>
          <w:ilvl w:val="0"/>
          <w:numId w:val="20"/>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WOLF: HML was strongly positive pre-COVID (+4.1524, value tilt), but flipped to negative post-COVID (–1.3909), showing a shift to growth. </w:t>
      </w:r>
    </w:p>
    <w:p xmlns:wp14="http://schemas.microsoft.com/office/word/2010/wordml" w:rsidP="19C45076" wp14:paraId="5D1B8B25" wp14:textId="0310F8C6">
      <w:pPr>
        <w:pStyle w:val="ListParagraph"/>
        <w:numPr>
          <w:ilvl w:val="0"/>
          <w:numId w:val="20"/>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QCOM: HML moved from strongly negative pre-COVID (–4.0029, growth tilt) to </w:t>
      </w:r>
      <w:r w:rsidRPr="19C45076" w:rsidR="252BB620">
        <w:rPr>
          <w:rFonts w:ascii="Times New Roman" w:hAnsi="Times New Roman" w:eastAsia="Times New Roman" w:cs="Times New Roman"/>
          <w:noProof w:val="0"/>
          <w:sz w:val="24"/>
          <w:szCs w:val="24"/>
          <w:lang w:val="en-US"/>
        </w:rPr>
        <w:t>nearly neutral</w:t>
      </w:r>
      <w:r w:rsidRPr="19C45076" w:rsidR="252BB620">
        <w:rPr>
          <w:rFonts w:ascii="Times New Roman" w:hAnsi="Times New Roman" w:eastAsia="Times New Roman" w:cs="Times New Roman"/>
          <w:noProof w:val="0"/>
          <w:sz w:val="24"/>
          <w:szCs w:val="24"/>
          <w:lang w:val="en-US"/>
        </w:rPr>
        <w:t xml:space="preserve"> post-COVID (+0.0595), </w:t>
      </w:r>
      <w:r w:rsidRPr="19C45076" w:rsidR="252BB620">
        <w:rPr>
          <w:rFonts w:ascii="Times New Roman" w:hAnsi="Times New Roman" w:eastAsia="Times New Roman" w:cs="Times New Roman"/>
          <w:noProof w:val="0"/>
          <w:sz w:val="24"/>
          <w:szCs w:val="24"/>
          <w:lang w:val="en-US"/>
        </w:rPr>
        <w:t>indicating</w:t>
      </w:r>
      <w:r w:rsidRPr="19C45076" w:rsidR="252BB620">
        <w:rPr>
          <w:rFonts w:ascii="Times New Roman" w:hAnsi="Times New Roman" w:eastAsia="Times New Roman" w:cs="Times New Roman"/>
          <w:noProof w:val="0"/>
          <w:sz w:val="24"/>
          <w:szCs w:val="24"/>
          <w:lang w:val="en-US"/>
        </w:rPr>
        <w:t xml:space="preserve"> a softening growth tilt. </w:t>
      </w:r>
    </w:p>
    <w:p xmlns:wp14="http://schemas.microsoft.com/office/word/2010/wordml" w:rsidP="19C45076" wp14:paraId="5B483C9E" wp14:textId="3CC6D96B">
      <w:pPr>
        <w:pStyle w:val="ListParagraph"/>
        <w:numPr>
          <w:ilvl w:val="0"/>
          <w:numId w:val="20"/>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INTC: HML shifted from positive pre-COVID (+1.6543, value tilt) to negative during COVID (–1.064, growth tilt), then returned to near neutral (+0.0595). </w:t>
      </w:r>
    </w:p>
    <w:p xmlns:wp14="http://schemas.microsoft.com/office/word/2010/wordml" w:rsidP="19C45076" wp14:paraId="2D1C062C" wp14:textId="51D90C9C">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Hence, we can conclude there has been consistent </w:t>
      </w:r>
      <w:r w:rsidRPr="19C45076" w:rsidR="252BB620">
        <w:rPr>
          <w:rFonts w:ascii="Times New Roman" w:hAnsi="Times New Roman" w:eastAsia="Times New Roman" w:cs="Times New Roman"/>
          <w:noProof w:val="0"/>
          <w:sz w:val="24"/>
          <w:szCs w:val="24"/>
          <w:lang w:val="en-US"/>
        </w:rPr>
        <w:t>strong growth</w:t>
      </w:r>
      <w:r w:rsidRPr="19C45076" w:rsidR="252BB620">
        <w:rPr>
          <w:rFonts w:ascii="Times New Roman" w:hAnsi="Times New Roman" w:eastAsia="Times New Roman" w:cs="Times New Roman"/>
          <w:noProof w:val="0"/>
          <w:sz w:val="24"/>
          <w:szCs w:val="24"/>
          <w:lang w:val="en-US"/>
        </w:rPr>
        <w:t xml:space="preserve"> tilt small cap companies during and post-covid. </w:t>
      </w:r>
    </w:p>
    <w:p xmlns:wp14="http://schemas.microsoft.com/office/word/2010/wordml" w:rsidP="19C45076" wp14:paraId="08D96728" wp14:textId="42260387">
      <w:pPr>
        <w:spacing w:before="240" w:beforeAutospacing="off" w:after="240" w:afterAutospacing="off" w:line="480" w:lineRule="auto"/>
        <w:rPr>
          <w:rFonts w:ascii="Times New Roman" w:hAnsi="Times New Roman" w:eastAsia="Times New Roman" w:cs="Times New Roman"/>
          <w:noProof w:val="0"/>
          <w:sz w:val="24"/>
          <w:szCs w:val="24"/>
          <w:lang w:val="en-US"/>
        </w:rPr>
      </w:pPr>
    </w:p>
    <w:p xmlns:wp14="http://schemas.microsoft.com/office/word/2010/wordml" w:rsidP="19C45076" wp14:paraId="66145BA6" wp14:textId="376EEEB8">
      <w:pPr>
        <w:spacing w:before="240" w:beforeAutospacing="off" w:after="240" w:afterAutospacing="off" w:line="480" w:lineRule="auto"/>
        <w:rPr>
          <w:rFonts w:ascii="Times New Roman" w:hAnsi="Times New Roman" w:eastAsia="Times New Roman" w:cs="Times New Roman"/>
          <w:noProof w:val="0"/>
          <w:sz w:val="24"/>
          <w:szCs w:val="24"/>
          <w:lang w:val="en-US"/>
        </w:rPr>
      </w:pPr>
    </w:p>
    <w:p xmlns:wp14="http://schemas.microsoft.com/office/word/2010/wordml" w:rsidP="19C45076" wp14:paraId="2137F727" wp14:textId="6CF49ABB">
      <w:pPr>
        <w:pStyle w:val="Normal"/>
        <w:spacing w:before="240" w:beforeAutospacing="off" w:after="240" w:afterAutospacing="off" w:line="480" w:lineRule="auto"/>
        <w:rPr>
          <w:rFonts w:ascii="Times New Roman" w:hAnsi="Times New Roman" w:eastAsia="Times New Roman" w:cs="Times New Roman"/>
          <w:b w:val="1"/>
          <w:bCs w:val="1"/>
          <w:noProof w:val="0"/>
          <w:sz w:val="28"/>
          <w:szCs w:val="28"/>
          <w:lang w:val="en-US"/>
        </w:rPr>
      </w:pPr>
      <w:r w:rsidRPr="19C45076" w:rsidR="19C45076">
        <w:rPr>
          <w:rFonts w:ascii="Times New Roman" w:hAnsi="Times New Roman" w:eastAsia="Times New Roman" w:cs="Times New Roman"/>
          <w:b w:val="1"/>
          <w:bCs w:val="1"/>
          <w:noProof w:val="0"/>
          <w:sz w:val="28"/>
          <w:szCs w:val="28"/>
          <w:lang w:val="en-US"/>
        </w:rPr>
        <w:t xml:space="preserve">4. </w:t>
      </w:r>
      <w:r w:rsidRPr="19C45076" w:rsidR="252BB620">
        <w:rPr>
          <w:rFonts w:ascii="Times New Roman" w:hAnsi="Times New Roman" w:eastAsia="Times New Roman" w:cs="Times New Roman"/>
          <w:b w:val="1"/>
          <w:bCs w:val="1"/>
          <w:noProof w:val="0"/>
          <w:sz w:val="28"/>
          <w:szCs w:val="28"/>
          <w:lang w:val="en-US"/>
        </w:rPr>
        <w:t xml:space="preserve">Conclusion </w:t>
      </w:r>
    </w:p>
    <w:p xmlns:wp14="http://schemas.microsoft.com/office/word/2010/wordml" w:rsidP="19C45076" wp14:paraId="1800B730" wp14:textId="1602708A">
      <w:pPr>
        <w:pStyle w:val="Normal"/>
        <w:spacing w:before="0" w:beforeAutospacing="off" w:after="0" w:afterAutospacing="off" w:line="480" w:lineRule="auto"/>
        <w:ind w:left="0"/>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This study examined the stock performance of AI-adopting semiconductor firms across three distinct periods: pre-COVID, during COVID, and post-COVID. We focused on comparing large-cap and small-cap companies, evaluating their resilience and risk-return dynamics using CAPM and various Fama-French factor models. By analyzing</w:t>
      </w:r>
      <w:r w:rsidRPr="19C45076" w:rsidR="588DA7F7">
        <w:rPr>
          <w:rFonts w:ascii="Times New Roman" w:hAnsi="Times New Roman" w:eastAsia="Times New Roman" w:cs="Times New Roman"/>
          <w:noProof w:val="0"/>
          <w:sz w:val="24"/>
          <w:szCs w:val="24"/>
          <w:lang w:val="en-US"/>
        </w:rPr>
        <w:t xml:space="preserve"> the 6</w:t>
      </w:r>
      <w:r w:rsidRPr="19C45076" w:rsidR="252BB620">
        <w:rPr>
          <w:rFonts w:ascii="Times New Roman" w:hAnsi="Times New Roman" w:eastAsia="Times New Roman" w:cs="Times New Roman"/>
          <w:noProof w:val="0"/>
          <w:sz w:val="24"/>
          <w:szCs w:val="24"/>
          <w:lang w:val="en-US"/>
        </w:rPr>
        <w:t xml:space="preserve"> firms</w:t>
      </w:r>
      <w:r w:rsidRPr="19C45076" w:rsidR="6854CE18">
        <w:rPr>
          <w:rFonts w:ascii="Times New Roman" w:hAnsi="Times New Roman" w:eastAsia="Times New Roman" w:cs="Times New Roman"/>
          <w:noProof w:val="0"/>
          <w:sz w:val="24"/>
          <w:szCs w:val="24"/>
          <w:lang w:val="en-US"/>
        </w:rPr>
        <w:t xml:space="preserve">, </w:t>
      </w:r>
      <w:r w:rsidRPr="19C45076" w:rsidR="252BB620">
        <w:rPr>
          <w:rFonts w:ascii="Times New Roman" w:hAnsi="Times New Roman" w:eastAsia="Times New Roman" w:cs="Times New Roman"/>
          <w:noProof w:val="0"/>
          <w:sz w:val="24"/>
          <w:szCs w:val="24"/>
          <w:lang w:val="en-US"/>
        </w:rPr>
        <w:t>we explored how firm size and technological integration influenced financial outcomes during macroeconomic disruptions.</w:t>
      </w:r>
    </w:p>
    <w:p xmlns:wp14="http://schemas.microsoft.com/office/word/2010/wordml" w:rsidP="19C45076" wp14:paraId="6DC38FC5" wp14:textId="7FB7CBE2">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Our findings </w:t>
      </w:r>
      <w:r w:rsidRPr="19C45076" w:rsidR="252BB620">
        <w:rPr>
          <w:rFonts w:ascii="Times New Roman" w:hAnsi="Times New Roman" w:eastAsia="Times New Roman" w:cs="Times New Roman"/>
          <w:noProof w:val="0"/>
          <w:sz w:val="24"/>
          <w:szCs w:val="24"/>
          <w:lang w:val="en-US"/>
        </w:rPr>
        <w:t>indicate</w:t>
      </w:r>
      <w:r w:rsidRPr="19C45076" w:rsidR="252BB620">
        <w:rPr>
          <w:rFonts w:ascii="Times New Roman" w:hAnsi="Times New Roman" w:eastAsia="Times New Roman" w:cs="Times New Roman"/>
          <w:noProof w:val="0"/>
          <w:sz w:val="24"/>
          <w:szCs w:val="24"/>
          <w:lang w:val="en-US"/>
        </w:rPr>
        <w:t xml:space="preserve"> that large-cap AI-adopting firms </w:t>
      </w:r>
      <w:r w:rsidRPr="19C45076" w:rsidR="252BB620">
        <w:rPr>
          <w:rFonts w:ascii="Times New Roman" w:hAnsi="Times New Roman" w:eastAsia="Times New Roman" w:cs="Times New Roman"/>
          <w:noProof w:val="0"/>
          <w:sz w:val="24"/>
          <w:szCs w:val="24"/>
          <w:lang w:val="en-US"/>
        </w:rPr>
        <w:t>exhibited</w:t>
      </w:r>
      <w:r w:rsidRPr="19C45076" w:rsidR="252BB620">
        <w:rPr>
          <w:rFonts w:ascii="Times New Roman" w:hAnsi="Times New Roman" w:eastAsia="Times New Roman" w:cs="Times New Roman"/>
          <w:noProof w:val="0"/>
          <w:sz w:val="24"/>
          <w:szCs w:val="24"/>
          <w:lang w:val="en-US"/>
        </w:rPr>
        <w:t xml:space="preserve"> greater resilience during the pandemic, with lower volatility and more stable returns compared to their small-cap counterparts. Small-cap firms, while offering potentially higher returns, experienced significantly higher volatility and market sensitivity. Across the periods, we </w:t>
      </w:r>
      <w:r w:rsidRPr="19C45076" w:rsidR="252BB620">
        <w:rPr>
          <w:rFonts w:ascii="Times New Roman" w:hAnsi="Times New Roman" w:eastAsia="Times New Roman" w:cs="Times New Roman"/>
          <w:noProof w:val="0"/>
          <w:sz w:val="24"/>
          <w:szCs w:val="24"/>
          <w:lang w:val="en-US"/>
        </w:rPr>
        <w:t>observed</w:t>
      </w:r>
      <w:r w:rsidRPr="19C45076" w:rsidR="252BB620">
        <w:rPr>
          <w:rFonts w:ascii="Times New Roman" w:hAnsi="Times New Roman" w:eastAsia="Times New Roman" w:cs="Times New Roman"/>
          <w:noProof w:val="0"/>
          <w:sz w:val="24"/>
          <w:szCs w:val="24"/>
          <w:lang w:val="en-US"/>
        </w:rPr>
        <w:t xml:space="preserve"> that beta values for most firms declined during COVID-19, reflecting a general reduction in systematic risk amid heightened uncertainty. Size factor (SMB) exposures shifted dynamically, particularly for small-cap firms, suggesting changing investor </w:t>
      </w:r>
      <w:r w:rsidRPr="19C45076" w:rsidR="252BB620">
        <w:rPr>
          <w:rFonts w:ascii="Times New Roman" w:hAnsi="Times New Roman" w:eastAsia="Times New Roman" w:cs="Times New Roman"/>
          <w:noProof w:val="0"/>
          <w:sz w:val="24"/>
          <w:szCs w:val="24"/>
          <w:lang w:val="en-US"/>
        </w:rPr>
        <w:t>perceptions</w:t>
      </w:r>
      <w:r w:rsidRPr="19C45076" w:rsidR="252BB620">
        <w:rPr>
          <w:rFonts w:ascii="Times New Roman" w:hAnsi="Times New Roman" w:eastAsia="Times New Roman" w:cs="Times New Roman"/>
          <w:noProof w:val="0"/>
          <w:sz w:val="24"/>
          <w:szCs w:val="24"/>
          <w:lang w:val="en-US"/>
        </w:rPr>
        <w:t xml:space="preserve"> of risk and opportunity. </w:t>
      </w:r>
    </w:p>
    <w:p xmlns:wp14="http://schemas.microsoft.com/office/word/2010/wordml" w:rsidP="19C45076" wp14:paraId="16149561" wp14:textId="7D3F7086">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This research highlights the importance of considering both firm size and technological adoption when evaluating investment opportunities in AI-driven sectors. Large-cap firms may appeal to investors seeking stability, </w:t>
      </w:r>
      <w:r w:rsidRPr="19C45076" w:rsidR="252BB620">
        <w:rPr>
          <w:rFonts w:ascii="Times New Roman" w:hAnsi="Times New Roman" w:eastAsia="Times New Roman" w:cs="Times New Roman"/>
          <w:noProof w:val="0"/>
          <w:sz w:val="24"/>
          <w:szCs w:val="24"/>
          <w:lang w:val="en-US"/>
        </w:rPr>
        <w:t>whereas</w:t>
      </w:r>
      <w:r w:rsidRPr="19C45076" w:rsidR="252BB620">
        <w:rPr>
          <w:rFonts w:ascii="Times New Roman" w:hAnsi="Times New Roman" w:eastAsia="Times New Roman" w:cs="Times New Roman"/>
          <w:noProof w:val="0"/>
          <w:sz w:val="24"/>
          <w:szCs w:val="24"/>
          <w:lang w:val="en-US"/>
        </w:rPr>
        <w:t xml:space="preserve"> small-cap firms may attract those willing to embrace greater risk for potential outsized gains. The interaction between macroeconomic events and technological shifts, such as AI integration, creates differentiated risk profiles that traditional models alone may not fully capture. </w:t>
      </w:r>
    </w:p>
    <w:p xmlns:wp14="http://schemas.microsoft.com/office/word/2010/wordml" w:rsidP="19C45076" wp14:paraId="0F6CE002" wp14:textId="34CB2B5B">
      <w:pPr>
        <w:spacing w:before="240" w:beforeAutospacing="off" w:after="240" w:afterAutospacing="off" w:line="480" w:lineRule="auto"/>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b w:val="1"/>
          <w:bCs w:val="1"/>
          <w:noProof w:val="0"/>
          <w:sz w:val="24"/>
          <w:szCs w:val="24"/>
          <w:lang w:val="en-US"/>
        </w:rPr>
        <w:t>Potential extensions of this study</w:t>
      </w:r>
      <w:r w:rsidRPr="19C45076" w:rsidR="252BB620">
        <w:rPr>
          <w:rFonts w:ascii="Times New Roman" w:hAnsi="Times New Roman" w:eastAsia="Times New Roman" w:cs="Times New Roman"/>
          <w:noProof w:val="0"/>
          <w:sz w:val="24"/>
          <w:szCs w:val="24"/>
          <w:lang w:val="en-US"/>
        </w:rPr>
        <w:t xml:space="preserve"> could include expanding the sample to incorporate firms from other industries actively adopting AI, such as healthcare, finance, or consumer goods. Additionally, future research could refine the classification of AI-adopting firms by incorporating third-party AI innovation indices or patent databases. Applying machine learning techniques to </w:t>
      </w:r>
      <w:r w:rsidRPr="19C45076" w:rsidR="252BB620">
        <w:rPr>
          <w:rFonts w:ascii="Times New Roman" w:hAnsi="Times New Roman" w:eastAsia="Times New Roman" w:cs="Times New Roman"/>
          <w:noProof w:val="0"/>
          <w:sz w:val="24"/>
          <w:szCs w:val="24"/>
          <w:lang w:val="en-US"/>
        </w:rPr>
        <w:t>identify</w:t>
      </w:r>
      <w:r w:rsidRPr="19C45076" w:rsidR="252BB620">
        <w:rPr>
          <w:rFonts w:ascii="Times New Roman" w:hAnsi="Times New Roman" w:eastAsia="Times New Roman" w:cs="Times New Roman"/>
          <w:noProof w:val="0"/>
          <w:sz w:val="24"/>
          <w:szCs w:val="24"/>
          <w:lang w:val="en-US"/>
        </w:rPr>
        <w:t xml:space="preserve"> firm clusters based on AI integration depth could further enrich the analysis. A longer post-COVID observation period would also help assess the sustainability of performance trends </w:t>
      </w:r>
      <w:r w:rsidRPr="19C45076" w:rsidR="252BB620">
        <w:rPr>
          <w:rFonts w:ascii="Times New Roman" w:hAnsi="Times New Roman" w:eastAsia="Times New Roman" w:cs="Times New Roman"/>
          <w:noProof w:val="0"/>
          <w:sz w:val="24"/>
          <w:szCs w:val="24"/>
          <w:lang w:val="en-US"/>
        </w:rPr>
        <w:t>identified</w:t>
      </w:r>
      <w:r w:rsidRPr="19C45076" w:rsidR="252BB620">
        <w:rPr>
          <w:rFonts w:ascii="Times New Roman" w:hAnsi="Times New Roman" w:eastAsia="Times New Roman" w:cs="Times New Roman"/>
          <w:noProof w:val="0"/>
          <w:sz w:val="24"/>
          <w:szCs w:val="24"/>
          <w:lang w:val="en-US"/>
        </w:rPr>
        <w:t xml:space="preserve"> in this study. </w:t>
      </w:r>
    </w:p>
    <w:p xmlns:wp14="http://schemas.microsoft.com/office/word/2010/wordml" w:rsidP="19C45076" wp14:paraId="2AEFE138" wp14:textId="2CDACFA8">
      <w:pPr>
        <w:pStyle w:val="Normal"/>
        <w:suppressLineNumbers w:val="0"/>
        <w:bidi w:val="0"/>
        <w:spacing w:before="240" w:beforeAutospacing="off" w:after="240" w:afterAutospacing="off" w:line="480" w:lineRule="auto"/>
        <w:ind w:left="0" w:right="0"/>
        <w:jc w:val="left"/>
        <w:rPr>
          <w:rFonts w:ascii="Times New Roman" w:hAnsi="Times New Roman" w:eastAsia="Times New Roman" w:cs="Times New Roman"/>
          <w:noProof w:val="0"/>
          <w:sz w:val="24"/>
          <w:szCs w:val="24"/>
          <w:lang w:val="en-US"/>
        </w:rPr>
      </w:pPr>
      <w:r w:rsidRPr="19C45076" w:rsidR="252BB620">
        <w:rPr>
          <w:rFonts w:ascii="Times New Roman" w:hAnsi="Times New Roman" w:eastAsia="Times New Roman" w:cs="Times New Roman"/>
          <w:noProof w:val="0"/>
          <w:sz w:val="24"/>
          <w:szCs w:val="24"/>
          <w:lang w:val="en-US"/>
        </w:rPr>
        <w:t xml:space="preserve">In conclusion, our research contributes to the growing literature on technology adoption and financial performance under crisis conditions. </w:t>
      </w:r>
    </w:p>
    <w:p xmlns:wp14="http://schemas.microsoft.com/office/word/2010/wordml" w:rsidP="19C45076" wp14:paraId="53E507D5" wp14:textId="58DE2398">
      <w:pPr>
        <w:pStyle w:val="Normal"/>
        <w:suppressLineNumbers w:val="0"/>
        <w:bidi w:val="0"/>
        <w:spacing w:before="240" w:beforeAutospacing="off" w:after="240" w:afterAutospacing="off" w:line="480" w:lineRule="auto"/>
        <w:ind w:left="0" w:right="0"/>
        <w:jc w:val="left"/>
        <w:rPr>
          <w:rFonts w:ascii="Times New Roman" w:hAnsi="Times New Roman" w:eastAsia="Times New Roman" w:cs="Times New Roman"/>
          <w:noProof w:val="0"/>
          <w:sz w:val="24"/>
          <w:szCs w:val="24"/>
          <w:lang w:val="en-US"/>
        </w:rPr>
      </w:pPr>
    </w:p>
    <w:p xmlns:wp14="http://schemas.microsoft.com/office/word/2010/wordml" w:rsidP="19C45076" wp14:paraId="35740175" wp14:textId="1F415B88">
      <w:pPr>
        <w:pStyle w:val="Normal"/>
        <w:suppressLineNumbers w:val="0"/>
        <w:bidi w:val="0"/>
        <w:spacing w:before="240" w:beforeAutospacing="off" w:after="240" w:afterAutospacing="off" w:line="480" w:lineRule="auto"/>
        <w:ind w:left="0" w:right="0"/>
        <w:jc w:val="left"/>
        <w:rPr>
          <w:rFonts w:ascii="Times New Roman" w:hAnsi="Times New Roman" w:eastAsia="Times New Roman" w:cs="Times New Roman"/>
          <w:noProof w:val="0"/>
          <w:sz w:val="24"/>
          <w:szCs w:val="24"/>
          <w:lang w:val="en-US"/>
        </w:rPr>
      </w:pPr>
    </w:p>
    <w:p xmlns:wp14="http://schemas.microsoft.com/office/word/2010/wordml" w:rsidP="19C45076" wp14:paraId="49381B59" wp14:textId="77AFAC5A">
      <w:pPr>
        <w:pStyle w:val="Normal"/>
        <w:suppressLineNumbers w:val="0"/>
        <w:bidi w:val="0"/>
        <w:spacing w:before="240" w:beforeAutospacing="off" w:after="240" w:afterAutospacing="off" w:line="480" w:lineRule="auto"/>
        <w:ind w:left="0" w:right="0"/>
        <w:jc w:val="left"/>
        <w:rPr>
          <w:rFonts w:ascii="Times New Roman" w:hAnsi="Times New Roman" w:eastAsia="Times New Roman" w:cs="Times New Roman"/>
          <w:noProof w:val="0"/>
          <w:sz w:val="24"/>
          <w:szCs w:val="24"/>
          <w:lang w:val="en-US"/>
        </w:rPr>
      </w:pPr>
    </w:p>
    <w:p xmlns:wp14="http://schemas.microsoft.com/office/word/2010/wordml" w:rsidP="19C45076" wp14:paraId="1B37220D" wp14:textId="01C3F3B3">
      <w:pPr>
        <w:pStyle w:val="Normal"/>
        <w:suppressLineNumbers w:val="0"/>
        <w:bidi w:val="0"/>
        <w:spacing w:before="240" w:beforeAutospacing="off" w:after="240" w:afterAutospacing="off" w:line="480" w:lineRule="auto"/>
        <w:ind w:left="0" w:right="0"/>
        <w:jc w:val="left"/>
        <w:rPr>
          <w:rFonts w:ascii="Times New Roman" w:hAnsi="Times New Roman" w:eastAsia="Times New Roman" w:cs="Times New Roman"/>
          <w:noProof w:val="0"/>
          <w:sz w:val="24"/>
          <w:szCs w:val="24"/>
          <w:lang w:val="en-US"/>
        </w:rPr>
      </w:pPr>
    </w:p>
    <w:p xmlns:wp14="http://schemas.microsoft.com/office/word/2010/wordml" w:rsidP="19C45076" wp14:paraId="7B6AAE4E" wp14:textId="4ACE801B">
      <w:pPr>
        <w:pStyle w:val="Normal"/>
        <w:suppressLineNumbers w:val="0"/>
        <w:bidi w:val="0"/>
        <w:spacing w:before="240" w:beforeAutospacing="off" w:after="240" w:afterAutospacing="off" w:line="480" w:lineRule="auto"/>
        <w:ind w:left="0" w:right="0"/>
        <w:jc w:val="left"/>
        <w:rPr>
          <w:rFonts w:ascii="Times New Roman" w:hAnsi="Times New Roman" w:eastAsia="Times New Roman" w:cs="Times New Roman"/>
          <w:noProof w:val="0"/>
          <w:sz w:val="24"/>
          <w:szCs w:val="24"/>
          <w:lang w:val="en-US"/>
        </w:rPr>
      </w:pPr>
    </w:p>
    <w:p xmlns:wp14="http://schemas.microsoft.com/office/word/2010/wordml" w:rsidP="19C45076" wp14:paraId="6C8562C5" wp14:textId="73D4CE83">
      <w:pPr>
        <w:pStyle w:val="Normal"/>
        <w:suppressLineNumbers w:val="0"/>
        <w:bidi w:val="0"/>
        <w:spacing w:before="240" w:beforeAutospacing="off" w:after="240" w:afterAutospacing="off" w:line="480" w:lineRule="auto"/>
        <w:ind w:left="0" w:right="0"/>
        <w:jc w:val="left"/>
        <w:rPr>
          <w:rFonts w:ascii="Times New Roman" w:hAnsi="Times New Roman" w:eastAsia="Times New Roman" w:cs="Times New Roman"/>
          <w:noProof w:val="0"/>
          <w:sz w:val="24"/>
          <w:szCs w:val="24"/>
          <w:lang w:val="en-US"/>
        </w:rPr>
      </w:pPr>
    </w:p>
    <w:p xmlns:wp14="http://schemas.microsoft.com/office/word/2010/wordml" w:rsidP="19C45076" wp14:paraId="1A009E9A" wp14:textId="042D0160">
      <w:pPr>
        <w:pStyle w:val="Normal"/>
        <w:suppressLineNumbers w:val="0"/>
        <w:bidi w:val="0"/>
        <w:spacing w:before="240" w:beforeAutospacing="off" w:after="240" w:afterAutospacing="off" w:line="480" w:lineRule="auto"/>
        <w:ind w:left="0" w:right="0"/>
        <w:jc w:val="left"/>
        <w:rPr>
          <w:rFonts w:ascii="Times New Roman" w:hAnsi="Times New Roman" w:eastAsia="Times New Roman" w:cs="Times New Roman"/>
          <w:noProof w:val="0"/>
          <w:sz w:val="24"/>
          <w:szCs w:val="24"/>
          <w:lang w:val="en-US"/>
        </w:rPr>
      </w:pPr>
    </w:p>
    <w:p xmlns:wp14="http://schemas.microsoft.com/office/word/2010/wordml" w:rsidP="19C45076" wp14:paraId="5A7409F4" wp14:textId="568F7BD1">
      <w:pPr>
        <w:pStyle w:val="Normal"/>
        <w:suppressLineNumbers w:val="0"/>
        <w:bidi w:val="0"/>
        <w:spacing w:before="240" w:beforeAutospacing="off" w:after="240" w:afterAutospacing="off" w:line="480" w:lineRule="auto"/>
        <w:ind w:left="0" w:right="0"/>
        <w:jc w:val="left"/>
        <w:rPr>
          <w:rFonts w:ascii="Times New Roman" w:hAnsi="Times New Roman" w:eastAsia="Times New Roman" w:cs="Times New Roman"/>
          <w:noProof w:val="0"/>
          <w:sz w:val="24"/>
          <w:szCs w:val="24"/>
          <w:lang w:val="en-US"/>
        </w:rPr>
      </w:pPr>
    </w:p>
    <w:p xmlns:wp14="http://schemas.microsoft.com/office/word/2010/wordml" w:rsidP="19C45076" wp14:paraId="1909EB10" wp14:textId="1917BEAC">
      <w:pPr>
        <w:pStyle w:val="Normal"/>
        <w:suppressLineNumbers w:val="0"/>
        <w:bidi w:val="0"/>
        <w:spacing w:before="240" w:beforeAutospacing="off" w:after="240" w:afterAutospacing="off" w:line="480" w:lineRule="auto"/>
        <w:ind w:left="0" w:right="0"/>
        <w:jc w:val="left"/>
        <w:rPr>
          <w:rFonts w:ascii="Times New Roman" w:hAnsi="Times New Roman" w:eastAsia="Times New Roman" w:cs="Times New Roman"/>
          <w:noProof w:val="0"/>
          <w:sz w:val="24"/>
          <w:szCs w:val="24"/>
          <w:lang w:val="en-US"/>
        </w:rPr>
      </w:pPr>
    </w:p>
    <w:p xmlns:wp14="http://schemas.microsoft.com/office/word/2010/wordml" w:rsidP="19C45076" wp14:paraId="1A7AFFCD" wp14:textId="527817B3">
      <w:pPr>
        <w:pStyle w:val="Normal"/>
        <w:suppressLineNumbers w:val="0"/>
        <w:bidi w:val="0"/>
        <w:spacing w:before="240" w:beforeAutospacing="off" w:after="240" w:afterAutospacing="off" w:line="480" w:lineRule="auto"/>
        <w:ind w:left="0" w:right="0"/>
        <w:jc w:val="left"/>
        <w:rPr>
          <w:rFonts w:ascii="Times New Roman" w:hAnsi="Times New Roman" w:eastAsia="Times New Roman" w:cs="Times New Roman"/>
          <w:i w:val="1"/>
          <w:iCs w:val="1"/>
          <w:noProof w:val="0"/>
          <w:sz w:val="24"/>
          <w:szCs w:val="24"/>
          <w:lang w:val="en-US"/>
        </w:rPr>
      </w:pPr>
      <w:r w:rsidRPr="19C45076" w:rsidR="41D72B06">
        <w:rPr>
          <w:rFonts w:ascii="Times New Roman" w:hAnsi="Times New Roman" w:eastAsia="Times New Roman" w:cs="Times New Roman"/>
          <w:i w:val="1"/>
          <w:iCs w:val="1"/>
          <w:noProof w:val="0"/>
          <w:sz w:val="24"/>
          <w:szCs w:val="24"/>
          <w:lang w:val="en-US"/>
        </w:rPr>
        <w:t>References:</w:t>
      </w:r>
    </w:p>
    <w:p xmlns:wp14="http://schemas.microsoft.com/office/word/2010/wordml" w:rsidP="19C45076" wp14:paraId="4EA294FC" wp14:textId="4502F875">
      <w:pPr>
        <w:pStyle w:val="Normal"/>
        <w:suppressLineNumbers w:val="0"/>
        <w:bidi w:val="0"/>
        <w:spacing w:before="240" w:beforeAutospacing="off" w:after="240" w:afterAutospacing="off" w:line="480" w:lineRule="auto"/>
        <w:ind w:left="0" w:right="0"/>
        <w:jc w:val="left"/>
        <w:rPr>
          <w:rFonts w:ascii="Times New Roman" w:hAnsi="Times New Roman" w:eastAsia="Times New Roman" w:cs="Times New Roman"/>
          <w:noProof w:val="0"/>
          <w:sz w:val="24"/>
          <w:szCs w:val="24"/>
          <w:lang w:val="en-US"/>
        </w:rPr>
      </w:pPr>
      <w:r w:rsidRPr="19C45076" w:rsidR="678107B6">
        <w:rPr>
          <w:rFonts w:ascii="Times New Roman" w:hAnsi="Times New Roman" w:eastAsia="Times New Roman" w:cs="Times New Roman"/>
          <w:noProof w:val="0"/>
          <w:sz w:val="24"/>
          <w:szCs w:val="24"/>
          <w:lang w:val="en-US"/>
        </w:rPr>
        <w:t xml:space="preserve">Ho, Linh &amp; Gan, Christopher &amp; Jin, Shan &amp; Le, Bryan. (2022). Artificial Intelligence and Firm Performance: Does Machine Intelligence Shield Firms from </w:t>
      </w:r>
      <w:bookmarkStart w:name="_Int_oxpED9Ce" w:id="159479143"/>
      <w:r w:rsidRPr="19C45076" w:rsidR="678107B6">
        <w:rPr>
          <w:rFonts w:ascii="Times New Roman" w:hAnsi="Times New Roman" w:eastAsia="Times New Roman" w:cs="Times New Roman"/>
          <w:noProof w:val="0"/>
          <w:sz w:val="24"/>
          <w:szCs w:val="24"/>
          <w:lang w:val="en-US"/>
        </w:rPr>
        <w:t>Risks?.</w:t>
      </w:r>
      <w:bookmarkEnd w:id="159479143"/>
      <w:r w:rsidRPr="19C45076" w:rsidR="678107B6">
        <w:rPr>
          <w:rFonts w:ascii="Times New Roman" w:hAnsi="Times New Roman" w:eastAsia="Times New Roman" w:cs="Times New Roman"/>
          <w:noProof w:val="0"/>
          <w:sz w:val="24"/>
          <w:szCs w:val="24"/>
          <w:lang w:val="en-US"/>
        </w:rPr>
        <w:t xml:space="preserve"> Journal of Risk and Financial Management. 15. 302. 10.3390/jrfm15070302.</w:t>
      </w:r>
    </w:p>
    <w:p xmlns:wp14="http://schemas.microsoft.com/office/word/2010/wordml" w:rsidP="19C45076" wp14:paraId="38EEADC1" wp14:textId="5CB44D35">
      <w:pPr>
        <w:pStyle w:val="Normal"/>
        <w:suppressLineNumbers w:val="0"/>
        <w:bidi w:val="0"/>
        <w:spacing w:before="240" w:beforeAutospacing="off" w:after="240" w:afterAutospacing="off" w:line="480" w:lineRule="auto"/>
        <w:ind w:left="0" w:right="0"/>
        <w:jc w:val="left"/>
        <w:rPr>
          <w:rFonts w:ascii="Times New Roman" w:hAnsi="Times New Roman" w:eastAsia="Times New Roman" w:cs="Times New Roman"/>
          <w:noProof w:val="0"/>
          <w:sz w:val="24"/>
          <w:szCs w:val="24"/>
          <w:lang w:val="en-US"/>
        </w:rPr>
      </w:pPr>
    </w:p>
    <w:p xmlns:wp14="http://schemas.microsoft.com/office/word/2010/wordml" wp14:paraId="2C078E63" wp14:textId="7FF43852"/>
    <w:sectPr>
      <w:pgSz w:w="12240" w:h="15840" w:orient="portrait"/>
      <w:pgMar w:top="1440" w:right="1440" w:bottom="1440" w:left="1440" w:header="720" w:footer="720" w:gutter="0"/>
      <w:cols w:space="720"/>
      <w:docGrid w:linePitch="360"/>
      <w:headerReference w:type="default" r:id="R178fc22f130347bb"/>
      <w:footerReference w:type="default" r:id="R8c641e0dd9024ac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C45076" w:rsidTr="19C45076" w14:paraId="67D427AA">
      <w:trPr>
        <w:trHeight w:val="300"/>
      </w:trPr>
      <w:tc>
        <w:tcPr>
          <w:tcW w:w="3120" w:type="dxa"/>
          <w:tcMar/>
        </w:tcPr>
        <w:p w:rsidR="19C45076" w:rsidP="19C45076" w:rsidRDefault="19C45076" w14:paraId="6EB20C0E" w14:textId="6BC109C5">
          <w:pPr>
            <w:pStyle w:val="Header"/>
            <w:bidi w:val="0"/>
            <w:ind w:left="-115"/>
            <w:jc w:val="left"/>
          </w:pPr>
        </w:p>
      </w:tc>
      <w:tc>
        <w:tcPr>
          <w:tcW w:w="3120" w:type="dxa"/>
          <w:tcMar/>
        </w:tcPr>
        <w:p w:rsidR="19C45076" w:rsidP="19C45076" w:rsidRDefault="19C45076" w14:paraId="020BCCE7" w14:textId="6D8C34EA">
          <w:pPr>
            <w:pStyle w:val="Header"/>
            <w:bidi w:val="0"/>
            <w:jc w:val="center"/>
          </w:pPr>
        </w:p>
      </w:tc>
      <w:tc>
        <w:tcPr>
          <w:tcW w:w="3120" w:type="dxa"/>
          <w:tcMar/>
        </w:tcPr>
        <w:p w:rsidR="19C45076" w:rsidP="19C45076" w:rsidRDefault="19C45076" w14:paraId="7C1CAA7E" w14:textId="64C0691C">
          <w:pPr>
            <w:pStyle w:val="Header"/>
            <w:bidi w:val="0"/>
            <w:ind w:right="-115"/>
            <w:jc w:val="right"/>
          </w:pPr>
          <w:r>
            <w:fldChar w:fldCharType="begin"/>
          </w:r>
          <w:r>
            <w:instrText xml:space="preserve">PAGE</w:instrText>
          </w:r>
          <w:r>
            <w:fldChar w:fldCharType="separate"/>
          </w:r>
          <w:r>
            <w:fldChar w:fldCharType="end"/>
          </w:r>
        </w:p>
      </w:tc>
    </w:tr>
  </w:tbl>
  <w:p w:rsidR="19C45076" w:rsidP="19C45076" w:rsidRDefault="19C45076" w14:paraId="586F4F8D" w14:textId="3FEF704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C45076" w:rsidTr="19C45076" w14:paraId="64FB6F99">
      <w:trPr>
        <w:trHeight w:val="300"/>
      </w:trPr>
      <w:tc>
        <w:tcPr>
          <w:tcW w:w="3120" w:type="dxa"/>
          <w:tcMar/>
        </w:tcPr>
        <w:p w:rsidR="19C45076" w:rsidP="19C45076" w:rsidRDefault="19C45076" w14:paraId="1D40F09E" w14:textId="0665EE00">
          <w:pPr>
            <w:pStyle w:val="Header"/>
            <w:bidi w:val="0"/>
            <w:ind w:left="-115"/>
            <w:jc w:val="left"/>
          </w:pPr>
        </w:p>
      </w:tc>
      <w:tc>
        <w:tcPr>
          <w:tcW w:w="3120" w:type="dxa"/>
          <w:tcMar/>
        </w:tcPr>
        <w:p w:rsidR="19C45076" w:rsidP="19C45076" w:rsidRDefault="19C45076" w14:paraId="69ADC2ED" w14:textId="1E4BFBDD">
          <w:pPr>
            <w:pStyle w:val="Header"/>
            <w:bidi w:val="0"/>
            <w:jc w:val="center"/>
          </w:pPr>
        </w:p>
      </w:tc>
      <w:tc>
        <w:tcPr>
          <w:tcW w:w="3120" w:type="dxa"/>
          <w:tcMar/>
        </w:tcPr>
        <w:p w:rsidR="19C45076" w:rsidP="19C45076" w:rsidRDefault="19C45076" w14:paraId="6470074D" w14:textId="77DCDA9E">
          <w:pPr>
            <w:pStyle w:val="Header"/>
            <w:bidi w:val="0"/>
            <w:ind w:right="-115"/>
            <w:jc w:val="right"/>
          </w:pPr>
        </w:p>
      </w:tc>
    </w:tr>
  </w:tbl>
  <w:p w:rsidR="19C45076" w:rsidP="19C45076" w:rsidRDefault="19C45076" w14:paraId="540FC157" w14:textId="3CA485C2">
    <w:pPr>
      <w:pStyle w:val="Header"/>
      <w:bidi w:val="0"/>
    </w:pPr>
  </w:p>
</w:hdr>
</file>

<file path=word/intelligence2.xml><?xml version="1.0" encoding="utf-8"?>
<int2:intelligence xmlns:int2="http://schemas.microsoft.com/office/intelligence/2020/intelligence">
  <int2:observations>
    <int2:bookmark int2:bookmarkName="_Int_oxpED9Ce" int2:invalidationBookmarkName="" int2:hashCode="YPk9T0yUGmK7BB" int2:id="VU5VDa3Y">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0">
    <w:nsid w:val="58488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7ac52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96a16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ef5b9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713ea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a447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c0fd9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4a810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fb1b9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f3a4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251d2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b6e5e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dd38f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429f4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059d3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f9ce4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e6632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355a4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c870b1a"/>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e14f0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E87521"/>
    <w:rsid w:val="04018695"/>
    <w:rsid w:val="060450D8"/>
    <w:rsid w:val="0CE87521"/>
    <w:rsid w:val="0E8CD426"/>
    <w:rsid w:val="0E90BB32"/>
    <w:rsid w:val="11440B74"/>
    <w:rsid w:val="129E37EF"/>
    <w:rsid w:val="14529E12"/>
    <w:rsid w:val="1532454F"/>
    <w:rsid w:val="168320A8"/>
    <w:rsid w:val="1752A4D1"/>
    <w:rsid w:val="19C45076"/>
    <w:rsid w:val="19E867F4"/>
    <w:rsid w:val="1D2991CB"/>
    <w:rsid w:val="1E4016EA"/>
    <w:rsid w:val="1E5C6CF7"/>
    <w:rsid w:val="22193748"/>
    <w:rsid w:val="22A6CCF8"/>
    <w:rsid w:val="252BB620"/>
    <w:rsid w:val="26BADC40"/>
    <w:rsid w:val="27E9870D"/>
    <w:rsid w:val="28199984"/>
    <w:rsid w:val="2A487537"/>
    <w:rsid w:val="2B330951"/>
    <w:rsid w:val="317C92A1"/>
    <w:rsid w:val="329D5706"/>
    <w:rsid w:val="33F534DB"/>
    <w:rsid w:val="3601C83A"/>
    <w:rsid w:val="375611E3"/>
    <w:rsid w:val="3E354633"/>
    <w:rsid w:val="41D72B06"/>
    <w:rsid w:val="426412CA"/>
    <w:rsid w:val="446148A0"/>
    <w:rsid w:val="4582F8F2"/>
    <w:rsid w:val="45D3FE16"/>
    <w:rsid w:val="46247AF5"/>
    <w:rsid w:val="491DF874"/>
    <w:rsid w:val="4E0EA828"/>
    <w:rsid w:val="4F8BB8EC"/>
    <w:rsid w:val="518E1F30"/>
    <w:rsid w:val="54CFF907"/>
    <w:rsid w:val="55782400"/>
    <w:rsid w:val="5807901C"/>
    <w:rsid w:val="588DA7F7"/>
    <w:rsid w:val="5BE237CC"/>
    <w:rsid w:val="5EEDEB6E"/>
    <w:rsid w:val="5F78D29E"/>
    <w:rsid w:val="5FE4C0EA"/>
    <w:rsid w:val="6008BB74"/>
    <w:rsid w:val="63A98946"/>
    <w:rsid w:val="672901D4"/>
    <w:rsid w:val="673D4B6B"/>
    <w:rsid w:val="678107B6"/>
    <w:rsid w:val="6854CE18"/>
    <w:rsid w:val="6D90FFBF"/>
    <w:rsid w:val="701A5D3C"/>
    <w:rsid w:val="72B831FE"/>
    <w:rsid w:val="746F0FA8"/>
    <w:rsid w:val="7501F1A8"/>
    <w:rsid w:val="7992B871"/>
    <w:rsid w:val="799C8213"/>
    <w:rsid w:val="7FFFA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7521"/>
  <w15:chartTrackingRefBased/>
  <w15:docId w15:val="{D11B7F72-5E70-4641-A825-D2ED9DE674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9C45076"/>
    <w:pPr>
      <w:spacing/>
      <w:ind w:left="720"/>
      <w:contextualSpacing/>
    </w:pPr>
  </w:style>
  <w:style w:type="paragraph" w:styleId="Header">
    <w:uiPriority w:val="99"/>
    <w:name w:val="header"/>
    <w:basedOn w:val="Normal"/>
    <w:unhideWhenUsed/>
    <w:rsid w:val="19C45076"/>
    <w:pPr>
      <w:tabs>
        <w:tab w:val="center" w:leader="none" w:pos="4680"/>
        <w:tab w:val="right" w:leader="none" w:pos="9360"/>
      </w:tabs>
      <w:spacing w:after="0" w:line="240" w:lineRule="auto"/>
    </w:pPr>
  </w:style>
  <w:style w:type="paragraph" w:styleId="Footer">
    <w:uiPriority w:val="99"/>
    <w:name w:val="footer"/>
    <w:basedOn w:val="Normal"/>
    <w:unhideWhenUsed/>
    <w:rsid w:val="19C45076"/>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e98514c250444e9" /><Relationship Type="http://schemas.openxmlformats.org/officeDocument/2006/relationships/image" Target="/media/image2.png" Id="Re8978ece77ac463e" /><Relationship Type="http://schemas.openxmlformats.org/officeDocument/2006/relationships/image" Target="/media/image3.png" Id="R488ec2d03ba640c9" /><Relationship Type="http://schemas.openxmlformats.org/officeDocument/2006/relationships/image" Target="/media/image4.png" Id="R20db9aa75398414f" /><Relationship Type="http://schemas.openxmlformats.org/officeDocument/2006/relationships/image" Target="/media/image5.png" Id="R2b7cc36ce25f4706" /><Relationship Type="http://schemas.openxmlformats.org/officeDocument/2006/relationships/image" Target="/media/image6.png" Id="Rf3f8b8a223fe4fd4" /><Relationship Type="http://schemas.openxmlformats.org/officeDocument/2006/relationships/header" Target="header.xml" Id="R178fc22f130347bb" /><Relationship Type="http://schemas.openxmlformats.org/officeDocument/2006/relationships/footer" Target="footer.xml" Id="R8c641e0dd9024ace" /><Relationship Type="http://schemas.microsoft.com/office/2020/10/relationships/intelligence" Target="intelligence2.xml" Id="R00f22ebada6c43ea" /><Relationship Type="http://schemas.openxmlformats.org/officeDocument/2006/relationships/numbering" Target="numbering.xml" Id="R0406012db44f430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2025-05-02T05:20:56.2603041Z</dcterms:created>
  <dcterms:modified xsi:type="dcterms:W3CDTF">2025-05-02T06:10:33.9484362Z</dcterms:modified>
  <dc:creator>Choudhury, Anisha</dc:creator>
  <lastModifiedBy>Choudhury, Anisha</lastModifiedBy>
</coreProperties>
</file>