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C97A1F"/>
          <w:spacing w:val="30"/>
          <w:sz w:val="22"/>
          <w:szCs w:val="22"/>
        </w:rPr>
        <w:t xml:space="preserve">PRODUCT REQUIREMENTS DOCUMENT</w:t>
      </w:r>
    </w:p>
    <w:p>
      <w:pPr>
        <w:spacing w:after="100"/>
        <w:jc w:val="center"/>
      </w:pPr>
      <w:r>
        <w:rPr>
          <w:rFonts w:ascii="Cambria" w:cs="Cambria" w:eastAsia="Cambria" w:hAnsi="Cambria"/>
          <w:b/>
          <w:bCs/>
          <w:color w:val="1E2761"/>
          <w:sz w:val="52"/>
          <w:szCs w:val="52"/>
        </w:rPr>
        <w:t xml:space="preserve">MIME-Based Multimedia</w:t>
      </w:r>
    </w:p>
    <w:p>
      <w:pPr>
        <w:spacing w:after="400"/>
        <w:jc w:val="center"/>
      </w:pPr>
      <w:r>
        <w:rPr>
          <w:rFonts w:ascii="Cambria" w:cs="Cambria" w:eastAsia="Cambria" w:hAnsi="Cambria"/>
          <w:b/>
          <w:bCs/>
          <w:color w:val="1E2761"/>
          <w:sz w:val="52"/>
          <w:szCs w:val="52"/>
        </w:rPr>
        <w:t xml:space="preserve">Email Handler</w:t>
      </w:r>
    </w:p>
    <w:p>
      <w:pPr>
        <w:spacing w:after="60"/>
        <w:jc w:val="center"/>
      </w:pPr>
      <w:r>
        <w:rPr>
          <w:rFonts w:ascii="Calibri" w:cs="Calibri" w:eastAsia="Calibri" w:hAnsi="Calibri"/>
          <w:i/>
          <w:iCs/>
          <w:color w:val="5B6B76"/>
          <w:sz w:val="24"/>
          <w:szCs w:val="24"/>
        </w:rPr>
        <w:t xml:space="preserve">A Client-Server Multimedia Messaging System over a Custom TCP Protocol</w:t>
      </w:r>
    </w:p>
    <w:p>
      <w:pPr>
        <w:pBdr>
          <w:bottom w:val="single" w:color="D0D5D8" w:sz="4" w:space="1"/>
        </w:pBdr>
        <w:spacing w:before="900"/>
      </w:pPr>
    </w:p>
    <w:p>
      <w:pPr>
        <w:spacing w:before="500"/>
      </w:pP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2600"/>
        <w:gridCol w:w="6700"/>
      </w:tblGrid>
      <w:tr>
        <w:trPr>
          <w:tblHeader/>
        </w:trPr>
        <w:tc>
          <w:tcPr>
            <w:tcW w:type="dxa" w:w="26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Field</w:t>
            </w:r>
          </w:p>
        </w:tc>
        <w:tc>
          <w:tcPr>
            <w:tcW w:type="dxa" w:w="67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Detail</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Authors</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Abhik Kumar (25BAI0059)  ·  Lavanya Talele</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Institution</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Vellore Institute of Technology</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Course</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Computer Networks — Lab Course Project</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Document Version</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v2.0 (Post–Review 1 revision)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Date</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September 2026</w:t>
            </w:r>
          </w:p>
        </w:tc>
      </w:tr>
    </w:tbl>
    <w:p>
      <w:pPr>
        <w:sectPr>
          <w:pgSz w:w="11906" w:h="16838" w:orient="portrait"/>
          <w:pgMar w:top="1440" w:right="1350" w:bottom="1440" w:left="1350" w:header="708" w:footer="708" w:gutter="0"/>
          <w:pgNumType/>
          <w:docGrid w:linePitch="360"/>
        </w:sectPr>
      </w:pPr>
    </w:p>
    <w:p>
      <w:pPr>
        <w:pStyle w:val="Heading1"/>
        <w:pBdr>
          <w:bottom w:val="single" w:color="1E2761" w:sz="6" w:space="4"/>
        </w:pBdr>
        <w:spacing w:after="160" w:before="360"/>
      </w:pPr>
      <w:r>
        <w:rPr>
          <w:rFonts w:ascii="Cambria" w:cs="Cambria" w:eastAsia="Cambria" w:hAnsi="Cambria"/>
          <w:b/>
          <w:bCs/>
          <w:color w:val="1E276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350" w:bottom="1440" w:left="1350" w:header="708" w:footer="708" w:gutter="0"/>
          <w:pgNumType/>
          <w:docGrid w:linePitch="360"/>
        </w:sectPr>
      </w:pPr>
    </w:p>
    <w:p>
      <w:pPr>
        <w:pStyle w:val="Heading1"/>
        <w:pBdr>
          <w:bottom w:val="single" w:color="1E2761" w:sz="6" w:space="4"/>
        </w:pBdr>
        <w:spacing w:after="160" w:before="360"/>
      </w:pPr>
      <w:r>
        <w:rPr>
          <w:rFonts w:ascii="Cambria" w:cs="Cambria" w:eastAsia="Cambria" w:hAnsi="Cambria"/>
          <w:b/>
          <w:bCs/>
          <w:color w:val="1E2761"/>
          <w:sz w:val="30"/>
          <w:szCs w:val="30"/>
        </w:rPr>
        <w:t xml:space="preserve">1. Overview &amp; Objectives</w:t>
      </w:r>
    </w:p>
    <w:p>
      <w:pPr>
        <w:pStyle w:val="Heading2"/>
        <w:spacing w:after="120" w:before="260"/>
      </w:pPr>
      <w:r>
        <w:rPr>
          <w:rFonts w:ascii="Cambria" w:cs="Cambria" w:eastAsia="Cambria" w:hAnsi="Cambria"/>
          <w:b/>
          <w:bCs/>
          <w:color w:val="127475"/>
          <w:sz w:val="24"/>
          <w:szCs w:val="24"/>
        </w:rPr>
        <w:t xml:space="preserve">1.1 Problem Statement</w:t>
      </w:r>
    </w:p>
    <w:p>
      <w:pPr>
        <w:spacing w:after="140" w:line="300"/>
      </w:pPr>
      <w:r>
        <w:rPr>
          <w:rFonts w:ascii="Calibri" w:cs="Calibri" w:eastAsia="Calibri" w:hAnsi="Calibri"/>
          <w:color w:val="222222"/>
          <w:sz w:val="22"/>
          <w:szCs w:val="22"/>
        </w:rPr>
        <w:t xml:space="preserve">Standard email protocols (SMTP/POP3/IMAP) already solve multimedia messaging at internet scale, but their complexity hides the underlying transport and protocol-design work from a learner. This project instead builds a minimal, purpose-built email system from first principles — a raw TCP socket layer, a custom length-framed application protocol, and manual MIME construction/parsing — to demonstrate practical mastery of the concepts taught in the Computer Networks course, backed by a normalized relational store for persistence.</w:t>
      </w:r>
    </w:p>
    <w:p>
      <w:pPr>
        <w:pStyle w:val="Heading2"/>
        <w:spacing w:after="120" w:before="260"/>
      </w:pPr>
      <w:r>
        <w:rPr>
          <w:rFonts w:ascii="Cambria" w:cs="Cambria" w:eastAsia="Cambria" w:hAnsi="Cambria"/>
          <w:b/>
          <w:bCs/>
          <w:color w:val="127475"/>
          <w:sz w:val="24"/>
          <w:szCs w:val="24"/>
        </w:rPr>
        <w:t xml:space="preserve">1.2 Objectives</w:t>
      </w:r>
    </w:p>
    <w:p>
      <w:pPr>
        <w:pStyle w:val="ListParagraph"/>
        <w:numPr>
          <w:ilvl w:val="0"/>
          <w:numId w:val="2"/>
        </w:numPr>
        <w:spacing w:after="80" w:line="280"/>
      </w:pPr>
      <w:r>
        <w:rPr>
          <w:rFonts w:ascii="Calibri" w:cs="Calibri" w:eastAsia="Calibri" w:hAnsi="Calibri"/>
          <w:color w:val="222222"/>
          <w:sz w:val="22"/>
          <w:szCs w:val="22"/>
        </w:rPr>
        <w:t xml:space="preserve">Design and implement a client-server multimedia email system built on raw TCP sockets and a custom application-layer protocol.</w:t>
      </w:r>
    </w:p>
    <w:p>
      <w:pPr>
        <w:pStyle w:val="ListParagraph"/>
        <w:numPr>
          <w:ilvl w:val="0"/>
          <w:numId w:val="2"/>
        </w:numPr>
        <w:spacing w:after="80" w:line="280"/>
      </w:pPr>
      <w:r>
        <w:rPr>
          <w:rFonts w:ascii="Calibri" w:cs="Calibri" w:eastAsia="Calibri" w:hAnsi="Calibri"/>
          <w:color w:val="222222"/>
          <w:sz w:val="22"/>
          <w:szCs w:val="22"/>
        </w:rPr>
        <w:t xml:space="preserve">Demonstrate core CN concepts: reliable byte-stream framing, connection lifecycle management, and concurrent client handling.</w:t>
      </w:r>
    </w:p>
    <w:p>
      <w:pPr>
        <w:pStyle w:val="ListParagraph"/>
        <w:numPr>
          <w:ilvl w:val="0"/>
          <w:numId w:val="2"/>
        </w:numPr>
        <w:spacing w:after="80" w:line="280"/>
      </w:pPr>
      <w:r>
        <w:rPr>
          <w:rFonts w:ascii="Calibri" w:cs="Calibri" w:eastAsia="Calibri" w:hAnsi="Calibri"/>
          <w:color w:val="222222"/>
          <w:sz w:val="22"/>
          <w:szCs w:val="22"/>
        </w:rPr>
        <w:t xml:space="preserve">Construct and parse MIME multipart messages (text, image, PDF, audio, video) without relying on a pre-built mail-transfer agent.</w:t>
      </w:r>
    </w:p>
    <w:p>
      <w:pPr>
        <w:pStyle w:val="ListParagraph"/>
        <w:numPr>
          <w:ilvl w:val="0"/>
          <w:numId w:val="2"/>
        </w:numPr>
        <w:spacing w:after="80" w:line="280"/>
      </w:pPr>
      <w:r>
        <w:rPr>
          <w:rFonts w:ascii="Calibri" w:cs="Calibri" w:eastAsia="Calibri" w:hAnsi="Calibri"/>
          <w:color w:val="222222"/>
          <w:sz w:val="22"/>
          <w:szCs w:val="22"/>
        </w:rPr>
        <w:t xml:space="preserve">Apply DBMS concepts — normalization, referential integrity, and transactional CRUD — to persist users, emails, and attachment metadata.</w:t>
      </w:r>
    </w:p>
    <w:p>
      <w:pPr>
        <w:pStyle w:val="ListParagraph"/>
        <w:numPr>
          <w:ilvl w:val="0"/>
          <w:numId w:val="2"/>
        </w:numPr>
        <w:spacing w:after="80" w:line="280"/>
      </w:pPr>
      <w:r>
        <w:rPr>
          <w:rFonts w:ascii="Calibri" w:cs="Calibri" w:eastAsia="Calibri" w:hAnsi="Calibri"/>
          <w:color w:val="222222"/>
          <w:sz w:val="22"/>
          <w:szCs w:val="22"/>
        </w:rPr>
        <w:t xml:space="preserve">Ship a usable, presentable full-stack demo (Next.js UI) suitable for portfolio and resume presentation.</w:t>
      </w:r>
    </w:p>
    <w:p>
      <w:pPr>
        <w:pStyle w:val="Heading1"/>
        <w:pBdr>
          <w:bottom w:val="single" w:color="1E2761" w:sz="6" w:space="4"/>
        </w:pBdr>
        <w:spacing w:after="160" w:before="360"/>
      </w:pPr>
      <w:r>
        <w:rPr>
          <w:rFonts w:ascii="Cambria" w:cs="Cambria" w:eastAsia="Cambria" w:hAnsi="Cambria"/>
          <w:b/>
          <w:bCs/>
          <w:color w:val="1E2761"/>
          <w:sz w:val="30"/>
          <w:szCs w:val="30"/>
        </w:rPr>
        <w:t xml:space="preserve">2. Scope</w:t>
      </w:r>
    </w:p>
    <w:p>
      <w:pPr>
        <w:pStyle w:val="Heading2"/>
        <w:spacing w:after="120" w:before="260"/>
      </w:pPr>
      <w:r>
        <w:rPr>
          <w:rFonts w:ascii="Cambria" w:cs="Cambria" w:eastAsia="Cambria" w:hAnsi="Cambria"/>
          <w:b/>
          <w:bCs/>
          <w:color w:val="127475"/>
          <w:sz w:val="24"/>
          <w:szCs w:val="24"/>
        </w:rPr>
        <w:t xml:space="preserve">2.1 In Scope (v1)</w:t>
      </w:r>
    </w:p>
    <w:p>
      <w:pPr>
        <w:pStyle w:val="ListParagraph"/>
        <w:numPr>
          <w:ilvl w:val="0"/>
          <w:numId w:val="2"/>
        </w:numPr>
        <w:spacing w:after="80" w:line="280"/>
      </w:pPr>
      <w:r>
        <w:rPr>
          <w:rFonts w:ascii="Calibri" w:cs="Calibri" w:eastAsia="Calibri" w:hAnsi="Calibri"/>
          <w:color w:val="222222"/>
          <w:sz w:val="22"/>
          <w:szCs w:val="22"/>
        </w:rPr>
        <w:t xml:space="preserve">Single-LAN or localhost deployment supporting multiple registered users.</w:t>
      </w:r>
    </w:p>
    <w:p>
      <w:pPr>
        <w:pStyle w:val="ListParagraph"/>
        <w:numPr>
          <w:ilvl w:val="0"/>
          <w:numId w:val="2"/>
        </w:numPr>
        <w:spacing w:after="80" w:line="280"/>
      </w:pPr>
      <w:r>
        <w:rPr>
          <w:rFonts w:ascii="Calibri" w:cs="Calibri" w:eastAsia="Calibri" w:hAnsi="Calibri"/>
          <w:color w:val="222222"/>
          <w:sz w:val="22"/>
          <w:szCs w:val="22"/>
        </w:rPr>
        <w:t xml:space="preserve">Registration, authenticated login/logout, and session-scoped access to a personal inbox.</w:t>
      </w:r>
    </w:p>
    <w:p>
      <w:pPr>
        <w:pStyle w:val="ListParagraph"/>
        <w:numPr>
          <w:ilvl w:val="0"/>
          <w:numId w:val="2"/>
        </w:numPr>
        <w:spacing w:after="80" w:line="280"/>
      </w:pPr>
      <w:r>
        <w:rPr>
          <w:rFonts w:ascii="Calibri" w:cs="Calibri" w:eastAsia="Calibri" w:hAnsi="Calibri"/>
          <w:color w:val="222222"/>
          <w:sz w:val="22"/>
          <w:szCs w:val="22"/>
        </w:rPr>
        <w:t xml:space="preserve">Compose, send, read, and delete emails with multimedia attachments (image, PDF, audio, video).</w:t>
      </w:r>
    </w:p>
    <w:p>
      <w:pPr>
        <w:pStyle w:val="ListParagraph"/>
        <w:numPr>
          <w:ilvl w:val="0"/>
          <w:numId w:val="2"/>
        </w:numPr>
        <w:spacing w:after="80" w:line="280"/>
      </w:pPr>
      <w:r>
        <w:rPr>
          <w:rFonts w:ascii="Calibri" w:cs="Calibri" w:eastAsia="Calibri" w:hAnsi="Calibri"/>
          <w:color w:val="222222"/>
          <w:sz w:val="22"/>
          <w:szCs w:val="22"/>
        </w:rPr>
        <w:t xml:space="preserve">Custom length-prefixed TCP protocol carrying MIME-encoded payloads between client and server.</w:t>
      </w:r>
    </w:p>
    <w:p>
      <w:pPr>
        <w:pStyle w:val="ListParagraph"/>
        <w:numPr>
          <w:ilvl w:val="0"/>
          <w:numId w:val="2"/>
        </w:numPr>
        <w:spacing w:after="80" w:line="280"/>
      </w:pPr>
      <w:r>
        <w:rPr>
          <w:rFonts w:ascii="Calibri" w:cs="Calibri" w:eastAsia="Calibri" w:hAnsi="Calibri"/>
          <w:color w:val="222222"/>
          <w:sz w:val="22"/>
          <w:szCs w:val="22"/>
        </w:rPr>
        <w:t xml:space="preserve">Relational persistence (SQLite) for users and email metadata; filesystem storage for binary attachments.</w:t>
      </w:r>
    </w:p>
    <w:p>
      <w:pPr>
        <w:pStyle w:val="Heading2"/>
        <w:spacing w:after="120" w:before="260"/>
      </w:pPr>
      <w:r>
        <w:rPr>
          <w:rFonts w:ascii="Cambria" w:cs="Cambria" w:eastAsia="Cambria" w:hAnsi="Cambria"/>
          <w:b/>
          <w:bCs/>
          <w:color w:val="127475"/>
          <w:sz w:val="24"/>
          <w:szCs w:val="24"/>
        </w:rPr>
        <w:t xml:space="preserve">2.2 Out of Scope (v1)</w:t>
      </w:r>
    </w:p>
    <w:p>
      <w:pPr>
        <w:pStyle w:val="ListParagraph"/>
        <w:numPr>
          <w:ilvl w:val="0"/>
          <w:numId w:val="2"/>
        </w:numPr>
        <w:spacing w:after="80" w:line="280"/>
      </w:pPr>
      <w:r>
        <w:rPr>
          <w:rFonts w:ascii="Calibri" w:cs="Calibri" w:eastAsia="Calibri" w:hAnsi="Calibri"/>
          <w:color w:val="222222"/>
          <w:sz w:val="22"/>
          <w:szCs w:val="22"/>
        </w:rPr>
        <w:t xml:space="preserve">Interoperability with external mail servers (no real SMTP/IMAP relay to Gmail, Outlook, etc.).</w:t>
      </w:r>
    </w:p>
    <w:p>
      <w:pPr>
        <w:pStyle w:val="ListParagraph"/>
        <w:numPr>
          <w:ilvl w:val="0"/>
          <w:numId w:val="2"/>
        </w:numPr>
        <w:spacing w:after="80" w:line="280"/>
      </w:pPr>
      <w:r>
        <w:rPr>
          <w:rFonts w:ascii="Calibri" w:cs="Calibri" w:eastAsia="Calibri" w:hAnsi="Calibri"/>
          <w:color w:val="222222"/>
          <w:sz w:val="22"/>
          <w:szCs w:val="22"/>
        </w:rPr>
        <w:t xml:space="preserve">Transport encryption (TLS) — noted as a planned enhancement, see Section 13.</w:t>
      </w:r>
    </w:p>
    <w:p>
      <w:pPr>
        <w:pStyle w:val="ListParagraph"/>
        <w:numPr>
          <w:ilvl w:val="0"/>
          <w:numId w:val="2"/>
        </w:numPr>
        <w:spacing w:after="80" w:line="280"/>
      </w:pPr>
      <w:r>
        <w:rPr>
          <w:rFonts w:ascii="Calibri" w:cs="Calibri" w:eastAsia="Calibri" w:hAnsi="Calibri"/>
          <w:color w:val="222222"/>
          <w:sz w:val="22"/>
          <w:szCs w:val="22"/>
        </w:rPr>
        <w:t xml:space="preserve">Mobile clients, push notifications, and spam/abuse filtering.</w:t>
      </w:r>
    </w:p>
    <w:p>
      <w:pPr>
        <w:spacing w:after="160" w:line="280"/>
      </w:pPr>
      <w:r>
        <w:rPr>
          <w:rFonts w:ascii="Calibri" w:cs="Calibri" w:eastAsia="Calibri" w:hAnsi="Calibri"/>
          <w:i/>
          <w:iCs/>
          <w:color w:val="5B6B76"/>
          <w:sz w:val="20"/>
          <w:szCs w:val="20"/>
        </w:rPr>
        <w:t xml:space="preserve">Explicitly separating scope keeps Review 1–3 deliverables achievable within the lab timeline while giving evaluators a clear boundary of what is and isn't being attempted.</w:t>
      </w:r>
    </w:p>
    <w:p>
      <w:pPr>
        <w:pStyle w:val="Heading1"/>
        <w:pBdr>
          <w:bottom w:val="single" w:color="1E2761" w:sz="6" w:space="4"/>
        </w:pBdr>
        <w:spacing w:after="160" w:before="360"/>
      </w:pPr>
      <w:r>
        <w:rPr>
          <w:rFonts w:ascii="Cambria" w:cs="Cambria" w:eastAsia="Cambria" w:hAnsi="Cambria"/>
          <w:b/>
          <w:bCs/>
          <w:color w:val="1E2761"/>
          <w:sz w:val="30"/>
          <w:szCs w:val="30"/>
        </w:rPr>
        <w:t xml:space="preserve">3. System Architecture</w:t>
      </w:r>
    </w:p>
    <w:p>
      <w:pPr>
        <w:spacing w:after="140" w:line="300"/>
      </w:pPr>
      <w:r>
        <w:rPr>
          <w:rFonts w:ascii="Calibri" w:cs="Calibri" w:eastAsia="Calibri" w:hAnsi="Calibri"/>
          <w:color w:val="222222"/>
          <w:sz w:val="22"/>
          <w:szCs w:val="22"/>
        </w:rPr>
        <w:t xml:space="preserve">The system is decoupled into four layers, each independently testable — a requirement for demonstrating protocol-level correctness in isolation from UI concerns.</w:t>
      </w: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1750"/>
        <w:gridCol w:w="2900"/>
        <w:gridCol w:w="4650"/>
      </w:tblGrid>
      <w:tr>
        <w:trPr>
          <w:tblHeader/>
        </w:trPr>
        <w:tc>
          <w:tcPr>
            <w:tcW w:type="dxa" w:w="175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Layer</w:t>
            </w:r>
          </w:p>
        </w:tc>
        <w:tc>
          <w:tcPr>
            <w:tcW w:type="dxa" w:w="29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Component</w:t>
            </w:r>
          </w:p>
        </w:tc>
        <w:tc>
          <w:tcPr>
            <w:tcW w:type="dxa" w:w="465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Responsibility</w:t>
            </w:r>
          </w:p>
        </w:tc>
      </w:tr>
      <w:tr>
        <w:tc>
          <w:tcPr>
            <w:tcW w:type="dxa" w:w="1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Presentation</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Next.js frontend</w:t>
            </w:r>
          </w:p>
        </w:tc>
        <w:tc>
          <w:tcPr>
            <w:tcW w:type="dxa" w:w="46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Inbox UI, compose form, attachment preview; talks to the backend over HTTP.</w:t>
            </w:r>
          </w:p>
        </w:tc>
      </w:tr>
      <w:tr>
        <w:tc>
          <w:tcPr>
            <w:tcW w:type="dxa" w:w="1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Application</w:t>
            </w:r>
          </w:p>
        </w:tc>
        <w:tc>
          <w:tcPr>
            <w:tcW w:type="dxa" w:w="29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Python backend (API + protocol bridge)</w:t>
            </w:r>
          </w:p>
        </w:tc>
        <w:tc>
          <w:tcPr>
            <w:tcW w:type="dxa" w:w="46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Translates HTTP requests into the custom TCP protocol and back.</w:t>
            </w:r>
          </w:p>
        </w:tc>
      </w:tr>
      <w:tr>
        <w:tc>
          <w:tcPr>
            <w:tcW w:type="dxa" w:w="1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Transport</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Python TCP socket server</w:t>
            </w:r>
          </w:p>
        </w:tc>
        <w:tc>
          <w:tcPr>
            <w:tcW w:type="dxa" w:w="46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Accepts connections, frames messages, routes commands, manages sessions.</w:t>
            </w:r>
          </w:p>
        </w:tc>
      </w:tr>
      <w:tr>
        <w:tc>
          <w:tcPr>
            <w:tcW w:type="dxa" w:w="1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Persistence</w:t>
            </w:r>
          </w:p>
        </w:tc>
        <w:tc>
          <w:tcPr>
            <w:tcW w:type="dxa" w:w="29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SQLite + local filesystem</w:t>
            </w:r>
          </w:p>
        </w:tc>
        <w:tc>
          <w:tcPr>
            <w:tcW w:type="dxa" w:w="46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Normalized metadata storage; raw attachment bytes on disk.</w:t>
            </w:r>
          </w:p>
        </w:tc>
      </w:tr>
    </w:tbl>
    <w:p>
      <w:pPr>
        <w:pStyle w:val="Heading2"/>
        <w:spacing w:after="120" w:before="260"/>
      </w:pPr>
      <w:r>
        <w:rPr>
          <w:rFonts w:ascii="Cambria" w:cs="Cambria" w:eastAsia="Cambria" w:hAnsi="Cambria"/>
          <w:b/>
          <w:bCs/>
          <w:color w:val="127475"/>
          <w:sz w:val="24"/>
          <w:szCs w:val="24"/>
        </w:rPr>
        <w:t xml:space="preserve">3.1 Concurrency Model</w:t>
      </w:r>
    </w:p>
    <w:p>
      <w:pPr>
        <w:spacing w:after="140" w:line="300"/>
      </w:pPr>
      <w:r>
        <w:rPr>
          <w:rFonts w:ascii="Calibri" w:cs="Calibri" w:eastAsia="Calibri" w:hAnsi="Calibri"/>
          <w:color w:val="222222"/>
          <w:sz w:val="22"/>
          <w:szCs w:val="22"/>
        </w:rPr>
        <w:t xml:space="preserve">The TCP server uses a thread-per-connection model: each accepted socket is handed to a worker thread, bounded by a configurable maximum pool size to prevent resource exhaustion under load. This keeps the implementation simple enough to reason about and demonstrate in a viva, while still proving genuine concurrent I/O handling — the core networking skill this project is meant to exercise.</w:t>
      </w:r>
    </w:p>
    <w:p>
      <w:pPr>
        <w:pStyle w:val="Heading1"/>
        <w:pBdr>
          <w:bottom w:val="single" w:color="1E2761" w:sz="6" w:space="4"/>
        </w:pBdr>
        <w:spacing w:after="160" w:before="360"/>
      </w:pPr>
      <w:r>
        <w:rPr>
          <w:rFonts w:ascii="Cambria" w:cs="Cambria" w:eastAsia="Cambria" w:hAnsi="Cambria"/>
          <w:b/>
          <w:bCs/>
          <w:color w:val="1E2761"/>
          <w:sz w:val="30"/>
          <w:szCs w:val="30"/>
        </w:rPr>
        <w:t xml:space="preserve">4. Application-Layer Protocol Specification</w:t>
      </w:r>
    </w:p>
    <w:p>
      <w:pPr>
        <w:spacing w:after="140" w:line="300"/>
      </w:pPr>
      <w:r>
        <w:rPr>
          <w:rFonts w:ascii="Calibri" w:cs="Calibri" w:eastAsia="Calibri" w:hAnsi="Calibri"/>
          <w:color w:val="222222"/>
          <w:sz w:val="22"/>
          <w:szCs w:val="22"/>
        </w:rPr>
        <w:t xml:space="preserve">This is the centerpiece of the networking implementation: a custom, length-prefixed protocol running directly over TCP, independent of HTTP.</w:t>
      </w:r>
    </w:p>
    <w:p>
      <w:pPr>
        <w:pStyle w:val="Heading2"/>
        <w:spacing w:after="120" w:before="260"/>
      </w:pPr>
      <w:r>
        <w:rPr>
          <w:rFonts w:ascii="Cambria" w:cs="Cambria" w:eastAsia="Cambria" w:hAnsi="Cambria"/>
          <w:b/>
          <w:bCs/>
          <w:color w:val="127475"/>
          <w:sz w:val="24"/>
          <w:szCs w:val="24"/>
        </w:rPr>
        <w:t xml:space="preserve">4.1 Message Frame Format</w:t>
      </w:r>
    </w:p>
    <w:p>
      <w:pPr>
        <w:shd w:fill="F2F5F5" w:val="clear"/>
        <w:spacing w:after="60"/>
      </w:pPr>
      <w:r>
        <w:rPr>
          <w:rFonts w:ascii="Consolas" w:cs="Consolas" w:eastAsia="Consolas" w:hAnsi="Consolas"/>
          <w:color w:val="222222"/>
          <w:sz w:val="20"/>
          <w:szCs w:val="20"/>
        </w:rPr>
        <w:t xml:space="preserve">COMMAND&lt;SP&gt;PAYLOAD_LENGTH\r\n</w:t>
      </w:r>
    </w:p>
    <w:p>
      <w:pPr>
        <w:shd w:fill="F2F5F5" w:val="clear"/>
        <w:spacing w:after="60"/>
      </w:pPr>
      <w:r>
        <w:rPr>
          <w:rFonts w:ascii="Consolas" w:cs="Consolas" w:eastAsia="Consolas" w:hAnsi="Consolas"/>
          <w:color w:val="222222"/>
          <w:sz w:val="20"/>
          <w:szCs w:val="20"/>
        </w:rPr>
        <w:t xml:space="preserve">&lt;PAYLOAD_LENGTH bytes of payload&gt;</w:t>
      </w:r>
    </w:p>
    <w:p>
      <w:pPr>
        <w:spacing w:after="140" w:line="300"/>
      </w:pPr>
      <w:r>
        <w:rPr>
          <w:rFonts w:ascii="Calibri" w:cs="Calibri" w:eastAsia="Calibri" w:hAnsi="Calibri"/>
          <w:color w:val="222222"/>
          <w:sz w:val="22"/>
          <w:szCs w:val="22"/>
        </w:rPr>
        <w:t xml:space="preserve">TCP delivers a continuous byte stream with no inherent message boundaries. The frame header therefore declares exactly how many payload bytes follow, so the receiver knows precisely when one application message ends and the next begins — regardless of how the underlying stream was chunked by the network.</w:t>
      </w:r>
    </w:p>
    <w:p>
      <w:pPr>
        <w:pStyle w:val="Heading2"/>
        <w:spacing w:after="120" w:before="260"/>
      </w:pPr>
      <w:r>
        <w:rPr>
          <w:rFonts w:ascii="Cambria" w:cs="Cambria" w:eastAsia="Cambria" w:hAnsi="Cambria"/>
          <w:b/>
          <w:bCs/>
          <w:color w:val="127475"/>
          <w:sz w:val="24"/>
          <w:szCs w:val="24"/>
        </w:rPr>
        <w:t xml:space="preserve">4.2 Command Set</w:t>
      </w: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2200"/>
        <w:gridCol w:w="2100"/>
        <w:gridCol w:w="5000"/>
      </w:tblGrid>
      <w:tr>
        <w:trPr>
          <w:tblHeader/>
        </w:trPr>
        <w:tc>
          <w:tcPr>
            <w:tcW w:type="dxa" w:w="22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Command</w:t>
            </w:r>
          </w:p>
        </w:tc>
        <w:tc>
          <w:tcPr>
            <w:tcW w:type="dxa" w:w="21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Direction</w:t>
            </w:r>
          </w:p>
        </w:tc>
        <w:tc>
          <w:tcPr>
            <w:tcW w:type="dxa" w:w="50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Purpose</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REGISTER</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Create a new user account.</w:t>
            </w:r>
          </w:p>
        </w:tc>
      </w:tr>
      <w:tr>
        <w:tc>
          <w:tcPr>
            <w:tcW w:type="dxa" w:w="2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LOGIN</w:t>
            </w:r>
          </w:p>
        </w:tc>
        <w:tc>
          <w:tcPr>
            <w:tcW w:type="dxa" w:w="21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Authenticate and establish a session.</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LOGOUT</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Terminate the active session.</w:t>
            </w:r>
          </w:p>
        </w:tc>
      </w:tr>
      <w:tr>
        <w:tc>
          <w:tcPr>
            <w:tcW w:type="dxa" w:w="2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SEND_EMAIL</w:t>
            </w:r>
          </w:p>
        </w:tc>
        <w:tc>
          <w:tcPr>
            <w:tcW w:type="dxa" w:w="21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Submit a MIME-encoded email for delivery.</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GET_INBOX</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Fetch lightweight inbox summaries (no bodies/attachments).</w:t>
            </w:r>
          </w:p>
        </w:tc>
      </w:tr>
      <w:tr>
        <w:tc>
          <w:tcPr>
            <w:tcW w:type="dxa" w:w="2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GET_EMAIL</w:t>
            </w:r>
          </w:p>
        </w:tc>
        <w:tc>
          <w:tcPr>
            <w:tcW w:type="dxa" w:w="21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Fetch a complete email, including MIME parts.</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MARK_READ</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Update read status for an email.</w:t>
            </w:r>
          </w:p>
        </w:tc>
      </w:tr>
      <w:tr>
        <w:tc>
          <w:tcPr>
            <w:tcW w:type="dxa" w:w="2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DELETE_EMAIL</w:t>
            </w:r>
          </w:p>
        </w:tc>
        <w:tc>
          <w:tcPr>
            <w:tcW w:type="dxa" w:w="21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Client → Server</w:t>
            </w:r>
          </w:p>
        </w:tc>
        <w:tc>
          <w:tcPr>
            <w:tcW w:type="dxa" w:w="5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Remove an email from the requesting user's view.</w:t>
            </w:r>
          </w:p>
        </w:tc>
      </w:tr>
    </w:tbl>
    <w:p>
      <w:pPr>
        <w:pStyle w:val="Heading2"/>
        <w:spacing w:after="120" w:before="260"/>
      </w:pPr>
      <w:r>
        <w:rPr>
          <w:rFonts w:ascii="Cambria" w:cs="Cambria" w:eastAsia="Cambria" w:hAnsi="Cambria"/>
          <w:b/>
          <w:bCs/>
          <w:color w:val="127475"/>
          <w:sz w:val="24"/>
          <w:szCs w:val="24"/>
        </w:rPr>
        <w:t xml:space="preserve">4.3 Response Codes</w:t>
      </w:r>
    </w:p>
    <w:p>
      <w:pPr>
        <w:spacing w:after="140" w:line="300"/>
      </w:pPr>
      <w:r>
        <w:rPr>
          <w:rFonts w:ascii="Calibri" w:cs="Calibri" w:eastAsia="Calibri" w:hAnsi="Calibri"/>
          <w:color w:val="222222"/>
          <w:sz w:val="22"/>
          <w:szCs w:val="22"/>
        </w:rPr>
        <w:t xml:space="preserve">Responses reuse familiar HTTP-style status semantics for clarity, framed with the same length-prefixed structure:</w:t>
      </w:r>
    </w:p>
    <w:p>
      <w:pPr>
        <w:pStyle w:val="ListParagraph"/>
        <w:numPr>
          <w:ilvl w:val="0"/>
          <w:numId w:val="2"/>
        </w:numPr>
        <w:spacing w:after="80" w:line="280"/>
      </w:pPr>
      <w:r>
        <w:rPr>
          <w:rFonts w:ascii="Calibri" w:cs="Calibri" w:eastAsia="Calibri" w:hAnsi="Calibri"/>
          <w:color w:val="222222"/>
          <w:sz w:val="22"/>
          <w:szCs w:val="22"/>
        </w:rPr>
        <w:t xml:space="preserve">200 OK — request succeeded, payload contains the result.</w:t>
      </w:r>
    </w:p>
    <w:p>
      <w:pPr>
        <w:pStyle w:val="ListParagraph"/>
        <w:numPr>
          <w:ilvl w:val="0"/>
          <w:numId w:val="2"/>
        </w:numPr>
        <w:spacing w:after="80" w:line="280"/>
      </w:pPr>
      <w:r>
        <w:rPr>
          <w:rFonts w:ascii="Calibri" w:cs="Calibri" w:eastAsia="Calibri" w:hAnsi="Calibri"/>
          <w:color w:val="222222"/>
          <w:sz w:val="22"/>
          <w:szCs w:val="22"/>
        </w:rPr>
        <w:t xml:space="preserve">400 BAD_REQUEST — malformed command or payload.</w:t>
      </w:r>
    </w:p>
    <w:p>
      <w:pPr>
        <w:pStyle w:val="ListParagraph"/>
        <w:numPr>
          <w:ilvl w:val="0"/>
          <w:numId w:val="2"/>
        </w:numPr>
        <w:spacing w:after="80" w:line="280"/>
      </w:pPr>
      <w:r>
        <w:rPr>
          <w:rFonts w:ascii="Calibri" w:cs="Calibri" w:eastAsia="Calibri" w:hAnsi="Calibri"/>
          <w:color w:val="222222"/>
          <w:sz w:val="22"/>
          <w:szCs w:val="22"/>
        </w:rPr>
        <w:t xml:space="preserve">401 UNAUTHORIZED — missing or invalid session.</w:t>
      </w:r>
    </w:p>
    <w:p>
      <w:pPr>
        <w:pStyle w:val="ListParagraph"/>
        <w:numPr>
          <w:ilvl w:val="0"/>
          <w:numId w:val="2"/>
        </w:numPr>
        <w:spacing w:after="80" w:line="280"/>
      </w:pPr>
      <w:r>
        <w:rPr>
          <w:rFonts w:ascii="Calibri" w:cs="Calibri" w:eastAsia="Calibri" w:hAnsi="Calibri"/>
          <w:color w:val="222222"/>
          <w:sz w:val="22"/>
          <w:szCs w:val="22"/>
        </w:rPr>
        <w:t xml:space="preserve">404 NOT_FOUND — referenced email/user does not exist.</w:t>
      </w:r>
    </w:p>
    <w:p>
      <w:pPr>
        <w:pStyle w:val="ListParagraph"/>
        <w:numPr>
          <w:ilvl w:val="0"/>
          <w:numId w:val="2"/>
        </w:numPr>
        <w:spacing w:after="80" w:line="280"/>
      </w:pPr>
      <w:r>
        <w:rPr>
          <w:rFonts w:ascii="Calibri" w:cs="Calibri" w:eastAsia="Calibri" w:hAnsi="Calibri"/>
          <w:color w:val="222222"/>
          <w:sz w:val="22"/>
          <w:szCs w:val="22"/>
        </w:rPr>
        <w:t xml:space="preserve">413 PAYLOAD_TOO_LARGE — attachment exceeds the configured size limit.</w:t>
      </w:r>
    </w:p>
    <w:p>
      <w:pPr>
        <w:pStyle w:val="ListParagraph"/>
        <w:numPr>
          <w:ilvl w:val="0"/>
          <w:numId w:val="2"/>
        </w:numPr>
        <w:spacing w:after="80" w:line="280"/>
      </w:pPr>
      <w:r>
        <w:rPr>
          <w:rFonts w:ascii="Calibri" w:cs="Calibri" w:eastAsia="Calibri" w:hAnsi="Calibri"/>
          <w:color w:val="222222"/>
          <w:sz w:val="22"/>
          <w:szCs w:val="22"/>
        </w:rPr>
        <w:t xml:space="preserve">500 SERVER_ERROR — unexpected server-side failure.</w:t>
      </w:r>
    </w:p>
    <w:p>
      <w:pPr>
        <w:pStyle w:val="Heading2"/>
        <w:spacing w:after="120" w:before="260"/>
      </w:pPr>
      <w:r>
        <w:rPr>
          <w:rFonts w:ascii="Cambria" w:cs="Cambria" w:eastAsia="Cambria" w:hAnsi="Cambria"/>
          <w:b/>
          <w:bCs/>
          <w:color w:val="127475"/>
          <w:sz w:val="24"/>
          <w:szCs w:val="24"/>
        </w:rPr>
        <w:t xml:space="preserve">4.4 Connection Lifecycle</w:t>
      </w:r>
    </w:p>
    <w:p>
      <w:pPr>
        <w:spacing w:after="140" w:line="300"/>
      </w:pPr>
      <w:r>
        <w:rPr>
          <w:rFonts w:ascii="Calibri" w:cs="Calibri" w:eastAsia="Calibri" w:hAnsi="Calibri"/>
          <w:color w:val="222222"/>
          <w:sz w:val="22"/>
          <w:szCs w:val="22"/>
        </w:rPr>
        <w:t xml:space="preserve">Each authenticated client holds one persistent TCP connection for the duration of its session. Requests on a connection are handled sequentially (no pipelining in v1); the server enforces a read timeout to reclaim idle or abandoned sockets.</w:t>
      </w:r>
    </w:p>
    <w:p>
      <w:pPr>
        <w:pStyle w:val="Heading1"/>
        <w:pBdr>
          <w:bottom w:val="single" w:color="1E2761" w:sz="6" w:space="4"/>
        </w:pBdr>
        <w:spacing w:after="160" w:before="360"/>
      </w:pPr>
      <w:r>
        <w:rPr>
          <w:rFonts w:ascii="Cambria" w:cs="Cambria" w:eastAsia="Cambria" w:hAnsi="Cambria"/>
          <w:b/>
          <w:bCs/>
          <w:color w:val="1E2761"/>
          <w:sz w:val="30"/>
          <w:szCs w:val="30"/>
        </w:rPr>
        <w:t xml:space="preserve">5. Core Functional Requirements</w:t>
      </w:r>
    </w:p>
    <w:p>
      <w:pPr>
        <w:pStyle w:val="Heading2"/>
        <w:spacing w:after="120" w:before="260"/>
      </w:pPr>
      <w:r>
        <w:rPr>
          <w:rFonts w:ascii="Cambria" w:cs="Cambria" w:eastAsia="Cambria" w:hAnsi="Cambria"/>
          <w:b/>
          <w:bCs/>
          <w:color w:val="127475"/>
          <w:sz w:val="24"/>
          <w:szCs w:val="24"/>
        </w:rPr>
        <w:t xml:space="preserve">5.1 User Authentication</w:t>
      </w:r>
    </w:p>
    <w:p>
      <w:pPr>
        <w:spacing w:after="140" w:line="300"/>
      </w:pPr>
      <w:r>
        <w:rPr>
          <w:rFonts w:ascii="Calibri" w:cs="Calibri" w:eastAsia="Calibri" w:hAnsi="Calibri"/>
          <w:color w:val="222222"/>
          <w:sz w:val="22"/>
          <w:szCs w:val="22"/>
        </w:rPr>
        <w:t xml:space="preserve">Secure registration, login, and session management using hashed passwords (bcrypt). The database enforces a unique constraint on the username/email column; failed login attempts are rate-limited per account to reduce brute-force exposure.</w:t>
      </w:r>
    </w:p>
    <w:p>
      <w:pPr>
        <w:pStyle w:val="Heading2"/>
        <w:spacing w:after="120" w:before="260"/>
      </w:pPr>
      <w:r>
        <w:rPr>
          <w:rFonts w:ascii="Cambria" w:cs="Cambria" w:eastAsia="Cambria" w:hAnsi="Cambria"/>
          <w:b/>
          <w:bCs/>
          <w:color w:val="127475"/>
          <w:sz w:val="24"/>
          <w:szCs w:val="24"/>
        </w:rPr>
        <w:t xml:space="preserve">5.2 Email Composition</w:t>
      </w:r>
    </w:p>
    <w:p>
      <w:pPr>
        <w:spacing w:after="140" w:line="300"/>
      </w:pPr>
      <w:r>
        <w:rPr>
          <w:rFonts w:ascii="Calibri" w:cs="Calibri" w:eastAsia="Calibri" w:hAnsi="Calibri"/>
          <w:color w:val="222222"/>
          <w:sz w:val="22"/>
          <w:szCs w:val="22"/>
        </w:rPr>
        <w:t xml:space="preserve">Users draft text-based emails, specify one or more recipients, and attach external multimedia files. The client constructs a multipart/mixed MIME structure before transmission.</w:t>
      </w:r>
    </w:p>
    <w:p>
      <w:pPr>
        <w:pStyle w:val="Heading2"/>
        <w:spacing w:after="120" w:before="260"/>
      </w:pPr>
      <w:r>
        <w:rPr>
          <w:rFonts w:ascii="Cambria" w:cs="Cambria" w:eastAsia="Cambria" w:hAnsi="Cambria"/>
          <w:b/>
          <w:bCs/>
          <w:color w:val="127475"/>
          <w:sz w:val="24"/>
          <w:szCs w:val="24"/>
        </w:rPr>
        <w:t xml:space="preserve">5.3 Inbox &amp; MIME Management</w:t>
      </w:r>
    </w:p>
    <w:p>
      <w:pPr>
        <w:spacing w:after="140" w:line="300"/>
      </w:pPr>
      <w:r>
        <w:rPr>
          <w:rFonts w:ascii="Calibri" w:cs="Calibri" w:eastAsia="Calibri" w:hAnsi="Calibri"/>
          <w:color w:val="222222"/>
          <w:sz w:val="22"/>
          <w:szCs w:val="22"/>
        </w:rPr>
        <w:t xml:space="preserve">Users retrieve and manage emails (read, delete). The backend dynamically parses multipart/mixed structures, decodes Base64-encoded attachments, and persists binary files safely to disk under a per-user directory.</w:t>
      </w:r>
    </w:p>
    <w:p>
      <w:pPr>
        <w:pStyle w:val="Heading2"/>
        <w:spacing w:after="120" w:before="260"/>
      </w:pPr>
      <w:r>
        <w:rPr>
          <w:rFonts w:ascii="Cambria" w:cs="Cambria" w:eastAsia="Cambria" w:hAnsi="Cambria"/>
          <w:b/>
          <w:bCs/>
          <w:color w:val="127475"/>
          <w:sz w:val="24"/>
          <w:szCs w:val="24"/>
        </w:rPr>
        <w:t xml:space="preserve">5.4 Network Framing</w:t>
      </w:r>
    </w:p>
    <w:p>
      <w:pPr>
        <w:spacing w:after="140" w:line="300"/>
      </w:pPr>
      <w:r>
        <w:rPr>
          <w:rFonts w:ascii="Calibri" w:cs="Calibri" w:eastAsia="Calibri" w:hAnsi="Calibri"/>
          <w:color w:val="222222"/>
          <w:sz w:val="22"/>
          <w:szCs w:val="22"/>
        </w:rPr>
        <w:t xml:space="preserve">The custom TCP protocol (Section 4) strictly manages chunking and boundary detection for reliable byte-stream transmission, ensuring no data loss or truncation during large attachment transfers.</w:t>
      </w:r>
    </w:p>
    <w:p>
      <w:pPr>
        <w:pStyle w:val="Heading2"/>
        <w:spacing w:after="120" w:before="260"/>
      </w:pPr>
      <w:r>
        <w:rPr>
          <w:rFonts w:ascii="Cambria" w:cs="Cambria" w:eastAsia="Cambria" w:hAnsi="Cambria"/>
          <w:b/>
          <w:bCs/>
          <w:color w:val="127475"/>
          <w:sz w:val="24"/>
          <w:szCs w:val="24"/>
        </w:rPr>
        <w:t xml:space="preserve">5.5 Session &amp; Concurrency</w:t>
      </w:r>
    </w:p>
    <w:p>
      <w:pPr>
        <w:spacing w:after="140" w:line="300"/>
      </w:pPr>
      <w:r>
        <w:rPr>
          <w:rFonts w:ascii="Calibri" w:cs="Calibri" w:eastAsia="Calibri" w:hAnsi="Calibri"/>
          <w:color w:val="222222"/>
          <w:sz w:val="22"/>
          <w:szCs w:val="22"/>
        </w:rPr>
        <w:t xml:space="preserve">The server supports multiple simultaneous authenticated sessions, each isolated to its own thread and socket, with no shared mutable state accessed without a lock (notably the SQLite connection pool).</w:t>
      </w:r>
    </w:p>
    <w:p>
      <w:pPr>
        <w:pStyle w:val="Heading1"/>
        <w:pBdr>
          <w:bottom w:val="single" w:color="1E2761" w:sz="6" w:space="4"/>
        </w:pBdr>
        <w:spacing w:after="160" w:before="360"/>
      </w:pPr>
      <w:r>
        <w:rPr>
          <w:rFonts w:ascii="Cambria" w:cs="Cambria" w:eastAsia="Cambria" w:hAnsi="Cambria"/>
          <w:b/>
          <w:bCs/>
          <w:color w:val="1E2761"/>
          <w:sz w:val="30"/>
          <w:szCs w:val="30"/>
        </w:rPr>
        <w:t xml:space="preserve">6. Non-Functional Requirements</w:t>
      </w: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2300"/>
        <w:gridCol w:w="7000"/>
      </w:tblGrid>
      <w:tr>
        <w:trPr>
          <w:tblHeader/>
        </w:trPr>
        <w:tc>
          <w:tcPr>
            <w:tcW w:type="dxa" w:w="23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Category</w:t>
            </w:r>
          </w:p>
        </w:tc>
        <w:tc>
          <w:tcPr>
            <w:tcW w:type="dxa" w:w="70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Requirement</w:t>
            </w:r>
          </w:p>
        </w:tc>
      </w:tr>
      <w:tr>
        <w:tc>
          <w:tcPr>
            <w:tcW w:type="dxa" w:w="2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Performance</w:t>
            </w:r>
          </w:p>
        </w:tc>
        <w:tc>
          <w:tcPr>
            <w:tcW w:type="dxa" w:w="7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Server sustains at least 20 concurrent client connections on localhost/LAN without perceptible degradation.</w:t>
            </w:r>
          </w:p>
        </w:tc>
      </w:tr>
      <w:tr>
        <w:tc>
          <w:tcPr>
            <w:tcW w:type="dxa" w:w="23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Reliability</w:t>
            </w:r>
          </w:p>
        </w:tc>
        <w:tc>
          <w:tcPr>
            <w:tcW w:type="dxa" w:w="7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Zero data loss for attachments up to 25 MB; framing correctly reassembles payloads split across multiple TCP segments.</w:t>
            </w:r>
          </w:p>
        </w:tc>
      </w:tr>
      <w:tr>
        <w:tc>
          <w:tcPr>
            <w:tcW w:type="dxa" w:w="2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Security</w:t>
            </w:r>
          </w:p>
        </w:tc>
        <w:tc>
          <w:tcPr>
            <w:tcW w:type="dxa" w:w="7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Passwords hashed (never stored or transmitted in plaintext); all SQL access parameterized to prevent injection.</w:t>
            </w:r>
          </w:p>
        </w:tc>
      </w:tr>
      <w:tr>
        <w:tc>
          <w:tcPr>
            <w:tcW w:type="dxa" w:w="23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Portability</w:t>
            </w:r>
          </w:p>
        </w:tc>
        <w:tc>
          <w:tcPr>
            <w:tcW w:type="dxa" w:w="70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Backend runs on any machine with Python 3.10+ and no OS-specific dependencies.</w:t>
            </w:r>
          </w:p>
        </w:tc>
      </w:tr>
      <w:tr>
        <w:tc>
          <w:tcPr>
            <w:tcW w:type="dxa" w:w="2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Maintainability</w:t>
            </w:r>
          </w:p>
        </w:tc>
        <w:tc>
          <w:tcPr>
            <w:tcW w:type="dxa" w:w="70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Transport, protocol, and business-logic layers are separated into independent, independently testable modules.</w:t>
            </w:r>
          </w:p>
        </w:tc>
      </w:tr>
    </w:tbl>
    <w:p>
      <w:pPr>
        <w:pStyle w:val="Heading1"/>
        <w:pBdr>
          <w:bottom w:val="single" w:color="1E2761" w:sz="6" w:space="4"/>
        </w:pBdr>
        <w:spacing w:after="160" w:before="360"/>
      </w:pPr>
      <w:r>
        <w:rPr>
          <w:rFonts w:ascii="Cambria" w:cs="Cambria" w:eastAsia="Cambria" w:hAnsi="Cambria"/>
          <w:b/>
          <w:bCs/>
          <w:color w:val="1E2761"/>
          <w:sz w:val="30"/>
          <w:szCs w:val="30"/>
        </w:rPr>
        <w:t xml:space="preserve">7. Database Schema Overview</w:t>
      </w:r>
    </w:p>
    <w:p>
      <w:pPr>
        <w:spacing w:after="140" w:line="300"/>
      </w:pPr>
      <w:r>
        <w:rPr>
          <w:rFonts w:ascii="Calibri" w:cs="Calibri" w:eastAsia="Calibri" w:hAnsi="Calibri"/>
          <w:color w:val="222222"/>
          <w:sz w:val="22"/>
          <w:szCs w:val="22"/>
        </w:rPr>
        <w:t xml:space="preserve">The SQLite database maintains four normalized tables to enforce referential integrity between users, emails, recipients, and attachments.</w:t>
      </w: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1750"/>
        <w:gridCol w:w="3800"/>
        <w:gridCol w:w="3750"/>
      </w:tblGrid>
      <w:tr>
        <w:trPr>
          <w:tblHeader/>
        </w:trPr>
        <w:tc>
          <w:tcPr>
            <w:tcW w:type="dxa" w:w="175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Table</w:t>
            </w:r>
          </w:p>
        </w:tc>
        <w:tc>
          <w:tcPr>
            <w:tcW w:type="dxa" w:w="38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Key Columns</w:t>
            </w:r>
          </w:p>
        </w:tc>
        <w:tc>
          <w:tcPr>
            <w:tcW w:type="dxa" w:w="375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Notes</w:t>
            </w:r>
          </w:p>
        </w:tc>
      </w:tr>
      <w:tr>
        <w:tc>
          <w:tcPr>
            <w:tcW w:type="dxa" w:w="1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USERS</w:t>
            </w:r>
          </w:p>
        </w:tc>
        <w:tc>
          <w:tcPr>
            <w:tcW w:type="dxa" w:w="38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id (PK), username, password_hash, created_at</w:t>
            </w:r>
          </w:p>
        </w:tc>
        <w:tc>
          <w:tcPr>
            <w:tcW w:type="dxa" w:w="3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Unique constraint on username.</w:t>
            </w:r>
          </w:p>
        </w:tc>
      </w:tr>
      <w:tr>
        <w:tc>
          <w:tcPr>
            <w:tcW w:type="dxa" w:w="1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EMAILS</w:t>
            </w:r>
          </w:p>
        </w:tc>
        <w:tc>
          <w:tcPr>
            <w:tcW w:type="dxa" w:w="38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id (PK), sender_id (FK → USERS), subject, body_text, timestamp</w:t>
            </w:r>
          </w:p>
        </w:tc>
        <w:tc>
          <w:tcPr>
            <w:tcW w:type="dxa" w:w="3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Indexed on sender_id.</w:t>
            </w:r>
          </w:p>
        </w:tc>
      </w:tr>
      <w:tr>
        <w:tc>
          <w:tcPr>
            <w:tcW w:type="dxa" w:w="1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RECIPIENTS</w:t>
            </w:r>
          </w:p>
        </w:tc>
        <w:tc>
          <w:tcPr>
            <w:tcW w:type="dxa" w:w="38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email_id (FK), user_id (FK), is_read, is_deleted</w:t>
            </w:r>
          </w:p>
        </w:tc>
        <w:tc>
          <w:tcPr>
            <w:tcW w:type="dxa" w:w="375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Composite PK (email_id, user_id); indexed on user_id for fast inbox reads.</w:t>
            </w:r>
          </w:p>
        </w:tc>
      </w:tr>
      <w:tr>
        <w:tc>
          <w:tcPr>
            <w:tcW w:type="dxa" w:w="1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ATTACHMENTS</w:t>
            </w:r>
          </w:p>
        </w:tc>
        <w:tc>
          <w:tcPr>
            <w:tcW w:type="dxa" w:w="38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id (PK), email_id (FK → EMAILS), filename, mime_type, file_path</w:t>
            </w:r>
          </w:p>
        </w:tc>
        <w:tc>
          <w:tcPr>
            <w:tcW w:type="dxa" w:w="375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Stores metadata only; binary content lives on the filesystem.</w:t>
            </w:r>
          </w:p>
        </w:tc>
      </w:tr>
    </w:tbl>
    <w:p>
      <w:pPr>
        <w:pStyle w:val="Heading1"/>
        <w:pBdr>
          <w:bottom w:val="single" w:color="1E2761" w:sz="6" w:space="4"/>
        </w:pBdr>
        <w:spacing w:after="160" w:before="360"/>
      </w:pPr>
      <w:r>
        <w:rPr>
          <w:rFonts w:ascii="Cambria" w:cs="Cambria" w:eastAsia="Cambria" w:hAnsi="Cambria"/>
          <w:b/>
          <w:bCs/>
          <w:color w:val="1E2761"/>
          <w:sz w:val="30"/>
          <w:szCs w:val="30"/>
        </w:rPr>
        <w:t xml:space="preserve">8. Technology Stack</w:t>
      </w:r>
    </w:p>
    <w:tbl>
      <w:tblPr>
        <w:tblW w:type="dxa" w:w="9300"/>
        <w:tblBorders>
          <w:top w:val="single" w:color="D0D5D8" w:sz="4"/>
          <w:left w:val="single" w:color="D0D5D8" w:sz="4"/>
          <w:bottom w:val="single" w:color="D0D5D8" w:sz="4"/>
          <w:right w:val="single" w:color="D0D5D8" w:sz="4"/>
          <w:insideH w:val="single" w:color="D0D5D8" w:sz="4"/>
          <w:insideV w:val="single" w:color="D0D5D8" w:sz="4"/>
        </w:tblBorders>
      </w:tblPr>
      <w:tblGrid>
        <w:gridCol w:w="2600"/>
        <w:gridCol w:w="6700"/>
      </w:tblGrid>
      <w:tr>
        <w:trPr>
          <w:tblHeader/>
        </w:trPr>
        <w:tc>
          <w:tcPr>
            <w:tcW w:type="dxa" w:w="26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Component</w:t>
            </w:r>
          </w:p>
        </w:tc>
        <w:tc>
          <w:tcPr>
            <w:tcW w:type="dxa" w:w="67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Technology</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Frontend</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Next.js (JavaScript/TypeScript)</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Backend</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Python 3.10+</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Networking</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Python socket, custom length-framed protocol</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Database</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SQLite (python sqlite3); PostgreSQL as a future migration target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MIME processing</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Python email/MIME libraries and custom multipart parsing</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Authentication</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bcrypt password hashing</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File storage</w:t>
            </w:r>
          </w:p>
        </w:tc>
        <w:tc>
          <w:tcPr>
            <w:tcW w:type="dxa" w:w="67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Local filesystem, per-user directory structure</w:t>
            </w:r>
          </w:p>
        </w:tc>
      </w:tr>
      <w:tr>
        <w:tc>
          <w:tcPr>
            <w:tcW w:type="dxa" w:w="26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Version control</w:t>
            </w:r>
          </w:p>
        </w:tc>
        <w:tc>
          <w:tcPr>
            <w:tcW w:type="dxa" w:w="67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Git / GitHub</w:t>
            </w:r>
          </w:p>
        </w:tc>
      </w:tr>
    </w:tbl>
    <w:p>
      <w:pPr>
        <w:pStyle w:val="Heading1"/>
        <w:pBdr>
          <w:bottom w:val="single" w:color="1E2761" w:sz="6" w:space="4"/>
        </w:pBdr>
        <w:spacing w:after="160" w:before="360"/>
      </w:pPr>
      <w:r>
        <w:rPr>
          <w:rFonts w:ascii="Cambria" w:cs="Cambria" w:eastAsia="Cambria" w:hAnsi="Cambria"/>
          <w:b/>
          <w:bCs/>
          <w:color w:val="1E2761"/>
          <w:sz w:val="30"/>
          <w:szCs w:val="30"/>
        </w:rPr>
        <w:t xml:space="preserve">9. Testing &amp; Validation Strategy</w:t>
      </w:r>
    </w:p>
    <w:p>
      <w:pPr>
        <w:pStyle w:val="ListParagraph"/>
        <w:numPr>
          <w:ilvl w:val="0"/>
          <w:numId w:val="2"/>
        </w:numPr>
        <w:spacing w:after="80" w:line="280"/>
      </w:pPr>
      <w:r>
        <w:rPr>
          <w:rFonts w:ascii="Calibri" w:cs="Calibri" w:eastAsia="Calibri" w:hAnsi="Calibri"/>
          <w:color w:val="222222"/>
          <w:sz w:val="22"/>
          <w:szCs w:val="22"/>
        </w:rPr>
        <w:t xml:space="preserve">Unit tests for MIME encode/decode round-trip correctness (attachment bytes in == bytes out).</w:t>
      </w:r>
    </w:p>
    <w:p>
      <w:pPr>
        <w:pStyle w:val="ListParagraph"/>
        <w:numPr>
          <w:ilvl w:val="0"/>
          <w:numId w:val="2"/>
        </w:numPr>
        <w:spacing w:after="80" w:line="280"/>
      </w:pPr>
      <w:r>
        <w:rPr>
          <w:rFonts w:ascii="Calibri" w:cs="Calibri" w:eastAsia="Calibri" w:hAnsi="Calibri"/>
          <w:color w:val="222222"/>
          <w:sz w:val="22"/>
          <w:szCs w:val="22"/>
        </w:rPr>
        <w:t xml:space="preserve">Protocol conformance tests: malformed frames, truncated payloads, and oversized attachments are rejected with the correct response code.</w:t>
      </w:r>
    </w:p>
    <w:p>
      <w:pPr>
        <w:pStyle w:val="ListParagraph"/>
        <w:numPr>
          <w:ilvl w:val="0"/>
          <w:numId w:val="2"/>
        </w:numPr>
        <w:spacing w:after="80" w:line="280"/>
      </w:pPr>
      <w:r>
        <w:rPr>
          <w:rFonts w:ascii="Calibri" w:cs="Calibri" w:eastAsia="Calibri" w:hAnsi="Calibri"/>
          <w:color w:val="222222"/>
          <w:sz w:val="22"/>
          <w:szCs w:val="22"/>
        </w:rPr>
        <w:t xml:space="preserve">Concurrency/load testing using simulated multiple simultaneous client connections to validate the thread-pool boundary.</w:t>
      </w:r>
    </w:p>
    <w:p>
      <w:pPr>
        <w:pStyle w:val="ListParagraph"/>
        <w:numPr>
          <w:ilvl w:val="0"/>
          <w:numId w:val="2"/>
        </w:numPr>
        <w:spacing w:after="80" w:line="280"/>
      </w:pPr>
      <w:r>
        <w:rPr>
          <w:rFonts w:ascii="Calibri" w:cs="Calibri" w:eastAsia="Calibri" w:hAnsi="Calibri"/>
          <w:color w:val="222222"/>
          <w:sz w:val="22"/>
          <w:szCs w:val="22"/>
        </w:rPr>
        <w:t xml:space="preserve">Manual cross-device LAN test checklist covering registration, send, receive, and attachment integrity end to end.</w:t>
      </w:r>
    </w:p>
    <w:p>
      <w:pPr>
        <w:pStyle w:val="Heading1"/>
        <w:pBdr>
          <w:bottom w:val="single" w:color="1E2761" w:sz="6" w:space="4"/>
        </w:pBdr>
        <w:spacing w:after="160" w:before="360"/>
      </w:pPr>
      <w:r>
        <w:rPr>
          <w:rFonts w:ascii="Cambria" w:cs="Cambria" w:eastAsia="Cambria" w:hAnsi="Cambria"/>
          <w:b/>
          <w:bCs/>
          <w:color w:val="1E2761"/>
          <w:sz w:val="30"/>
          <w:szCs w:val="30"/>
        </w:rPr>
        <w:t xml:space="preserve">10. Release Milestones</w:t>
      </w:r>
    </w:p>
    <w:tbl>
      <w:tblPr>
        <w:tblW w:type="dxa" w:w="10100"/>
        <w:tblBorders>
          <w:top w:val="single" w:color="D0D5D8" w:sz="4"/>
          <w:left w:val="single" w:color="D0D5D8" w:sz="4"/>
          <w:bottom w:val="single" w:color="D0D5D8" w:sz="4"/>
          <w:right w:val="single" w:color="D0D5D8" w:sz="4"/>
          <w:insideH w:val="single" w:color="D0D5D8" w:sz="4"/>
          <w:insideV w:val="single" w:color="D0D5D8" w:sz="4"/>
        </w:tblBorders>
      </w:tblPr>
      <w:tblGrid>
        <w:gridCol w:w="3300"/>
        <w:gridCol w:w="5300"/>
        <w:gridCol w:w="1500"/>
      </w:tblGrid>
      <w:tr>
        <w:trPr>
          <w:tblHeader/>
        </w:trPr>
        <w:tc>
          <w:tcPr>
            <w:tcW w:type="dxa" w:w="33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Phase</w:t>
            </w:r>
          </w:p>
        </w:tc>
        <w:tc>
          <w:tcPr>
            <w:tcW w:type="dxa" w:w="53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Deliverables</w:t>
            </w:r>
          </w:p>
        </w:tc>
        <w:tc>
          <w:tcPr>
            <w:tcW w:type="dxa" w:w="15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Maps to</w:t>
            </w:r>
          </w:p>
        </w:tc>
      </w:tr>
      <w:tr>
        <w:tc>
          <w:tcPr>
            <w:tcW w:type="dxa" w:w="3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Phase 1 — Network &amp; Storage</w:t>
            </w:r>
          </w:p>
        </w:tc>
        <w:tc>
          <w:tcPr>
            <w:tcW w:type="dxa" w:w="5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Raw TCP socket communication, message framing, SQLite schema finalized.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Review 1</w:t>
            </w:r>
          </w:p>
        </w:tc>
      </w:tr>
      <w:tr>
        <w:tc>
          <w:tcPr>
            <w:tcW w:type="dxa" w:w="33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Phase 2 — Application Interface</w:t>
            </w:r>
          </w:p>
        </w:tc>
        <w:tc>
          <w:tcPr>
            <w:tcW w:type="dxa" w:w="53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Next.js UI connected to the backend via the documented API/protocol bridge.</w:t>
            </w:r>
          </w:p>
        </w:tc>
        <w:tc>
          <w:tcPr>
            <w:tcW w:type="dxa" w:w="15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Review 2</w:t>
            </w:r>
          </w:p>
        </w:tc>
      </w:tr>
      <w:tr>
        <w:tc>
          <w:tcPr>
            <w:tcW w:type="dxa" w:w="3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Phase 3 — MIME &amp; LAN Deployment</w:t>
            </w:r>
          </w:p>
        </w:tc>
        <w:tc>
          <w:tcPr>
            <w:tcW w:type="dxa" w:w="5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MIME parsing finalized, cross-device Wi-Fi testing, full documentation.</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Review 3 / Final</w:t>
            </w:r>
          </w:p>
        </w:tc>
      </w:tr>
    </w:tbl>
    <w:p>
      <w:pPr>
        <w:pStyle w:val="Heading1"/>
        <w:pBdr>
          <w:bottom w:val="single" w:color="1E2761" w:sz="6" w:space="4"/>
        </w:pBdr>
        <w:spacing w:after="160" w:before="360"/>
      </w:pPr>
      <w:r>
        <w:rPr>
          <w:rFonts w:ascii="Cambria" w:cs="Cambria" w:eastAsia="Cambria" w:hAnsi="Cambria"/>
          <w:b/>
          <w:bCs/>
          <w:color w:val="1E2761"/>
          <w:sz w:val="30"/>
          <w:szCs w:val="30"/>
        </w:rPr>
        <w:t xml:space="preserve">11. Risks &amp; Mitigations</w:t>
      </w:r>
    </w:p>
    <w:tbl>
      <w:tblPr>
        <w:tblW w:type="dxa" w:w="9100"/>
        <w:tblBorders>
          <w:top w:val="single" w:color="D0D5D8" w:sz="4"/>
          <w:left w:val="single" w:color="D0D5D8" w:sz="4"/>
          <w:bottom w:val="single" w:color="D0D5D8" w:sz="4"/>
          <w:right w:val="single" w:color="D0D5D8" w:sz="4"/>
          <w:insideH w:val="single" w:color="D0D5D8" w:sz="4"/>
          <w:insideV w:val="single" w:color="D0D5D8" w:sz="4"/>
        </w:tblBorders>
      </w:tblPr>
      <w:tblGrid>
        <w:gridCol w:w="4200"/>
        <w:gridCol w:w="4900"/>
      </w:tblGrid>
      <w:tr>
        <w:trPr>
          <w:tblHeader/>
        </w:trPr>
        <w:tc>
          <w:tcPr>
            <w:tcW w:type="dxa" w:w="42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Risk</w:t>
            </w:r>
          </w:p>
        </w:tc>
        <w:tc>
          <w:tcPr>
            <w:tcW w:type="dxa" w:w="49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Mitigation</w:t>
            </w:r>
          </w:p>
        </w:tc>
      </w:tr>
      <w:tr>
        <w:tc>
          <w:tcPr>
            <w:tcW w:type="dxa" w:w="4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TCP does not preserve message boundaries, risking corrupted reassembly.</w:t>
            </w:r>
          </w:p>
        </w:tc>
        <w:tc>
          <w:tcPr>
            <w:tcW w:type="dxa" w:w="49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Strict length-prefixed framing, covered by dedicated protocol conformance tests.</w:t>
            </w:r>
          </w:p>
        </w:tc>
      </w:tr>
      <w:tr>
        <w:tc>
          <w:tcPr>
            <w:tcW w:type="dxa" w:w="4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Large attachments block single-threaded I/O.</w:t>
            </w:r>
          </w:p>
        </w:tc>
        <w:tc>
          <w:tcPr>
            <w:tcW w:type="dxa" w:w="49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Thread-per-connection model with chunked, non-blocking reads.</w:t>
            </w:r>
          </w:p>
        </w:tc>
      </w:tr>
      <w:tr>
        <w:tc>
          <w:tcPr>
            <w:tcW w:type="dxa" w:w="42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Frontend (HTTP) and backend (custom TCP) protocols drift out of sync.</w:t>
            </w:r>
          </w:p>
        </w:tc>
        <w:tc>
          <w:tcPr>
            <w:tcW w:type="dxa" w:w="49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 documented, versioned API-to-command mapping owned by both contributors.</w:t>
            </w:r>
          </w:p>
        </w:tc>
      </w:tr>
      <w:tr>
        <w:tc>
          <w:tcPr>
            <w:tcW w:type="dxa" w:w="42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Scope creep across networking, DB, and frontend simultaneously.</w:t>
            </w:r>
          </w:p>
        </w:tc>
        <w:tc>
          <w:tcPr>
            <w:tcW w:type="dxa" w:w="49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Phased delivery — CLI-testable core (Phases 1–2) before UI polish.</w:t>
            </w:r>
          </w:p>
        </w:tc>
      </w:tr>
    </w:tbl>
    <w:p>
      <w:pPr>
        <w:pStyle w:val="Heading1"/>
        <w:pBdr>
          <w:bottom w:val="single" w:color="1E2761" w:sz="6" w:space="4"/>
        </w:pBdr>
        <w:spacing w:after="160" w:before="360"/>
      </w:pPr>
      <w:r>
        <w:rPr>
          <w:rFonts w:ascii="Cambria" w:cs="Cambria" w:eastAsia="Cambria" w:hAnsi="Cambria"/>
          <w:b/>
          <w:bCs/>
          <w:color w:val="1E2761"/>
          <w:sz w:val="30"/>
          <w:szCs w:val="30"/>
        </w:rPr>
        <w:t xml:space="preserve">12. Team &amp; Ownership</w:t>
      </w:r>
    </w:p>
    <w:tbl>
      <w:tblPr>
        <w:tblW w:type="dxa" w:w="9100"/>
        <w:tblBorders>
          <w:top w:val="single" w:color="D0D5D8" w:sz="4"/>
          <w:left w:val="single" w:color="D0D5D8" w:sz="4"/>
          <w:bottom w:val="single" w:color="D0D5D8" w:sz="4"/>
          <w:right w:val="single" w:color="D0D5D8" w:sz="4"/>
          <w:insideH w:val="single" w:color="D0D5D8" w:sz="4"/>
          <w:insideV w:val="single" w:color="D0D5D8" w:sz="4"/>
        </w:tblBorders>
      </w:tblPr>
      <w:tblGrid>
        <w:gridCol w:w="3300"/>
        <w:gridCol w:w="5800"/>
      </w:tblGrid>
      <w:tr>
        <w:trPr>
          <w:tblHeader/>
        </w:trPr>
        <w:tc>
          <w:tcPr>
            <w:tcW w:type="dxa" w:w="33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Member</w:t>
            </w:r>
          </w:p>
        </w:tc>
        <w:tc>
          <w:tcPr>
            <w:tcW w:type="dxa" w:w="5800"/>
            <w:shd w:fill="1E2761"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Primary Ownership</w:t>
            </w:r>
          </w:p>
        </w:tc>
      </w:tr>
      <w:tr>
        <w:tc>
          <w:tcPr>
            <w:tcW w:type="dxa" w:w="33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Abhik Kumar (25BAI0059)</w:t>
            </w:r>
          </w:p>
        </w:tc>
        <w:tc>
          <w:tcPr>
            <w:tcW w:type="dxa" w:w="5800"/>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Backend networking — TCP server, protocol design, MIME handling, database schema.</w:t>
            </w:r>
          </w:p>
        </w:tc>
      </w:tr>
      <w:tr>
        <w:tc>
          <w:tcPr>
            <w:tcW w:type="dxa" w:w="33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Lavanya Talele</w:t>
            </w:r>
          </w:p>
        </w:tc>
        <w:tc>
          <w:tcPr>
            <w:tcW w:type="dxa" w:w="5800"/>
            <w:shd w:fill="F2F5F5" w:val="clear"/>
            <w:tcMar>
              <w:top w:type="dxa" w:w="90"/>
              <w:left w:type="dxa" w:w="110"/>
              <w:bottom w:type="dxa" w:w="90"/>
              <w:right w:type="dxa" w:w="110"/>
            </w:tcMar>
            <w:vAlign w:val="center"/>
          </w:tcPr>
          <w:p>
            <w:r>
              <w:rPr>
                <w:rFonts w:ascii="Calibri" w:cs="Calibri" w:eastAsia="Calibri" w:hAnsi="Calibri"/>
                <w:b w:val="false"/>
                <w:bCs w:val="false"/>
                <w:color w:val="222222"/>
                <w:sz w:val="20"/>
                <w:szCs w:val="20"/>
              </w:rPr>
              <w:t xml:space="preserve">Frontend (Next.js UI), API integration layer, testing and documentation.</w:t>
            </w:r>
          </w:p>
        </w:tc>
      </w:tr>
    </w:tbl>
    <w:p>
      <w:pPr>
        <w:spacing w:after="160" w:line="280"/>
      </w:pPr>
      <w:r>
        <w:rPr>
          <w:rFonts w:ascii="Calibri" w:cs="Calibri" w:eastAsia="Calibri" w:hAnsi="Calibri"/>
          <w:i/>
          <w:iCs/>
          <w:color w:val="5B6B76"/>
          <w:sz w:val="20"/>
          <w:szCs w:val="20"/>
        </w:rPr>
        <w:t xml:space="preserve">Ownership split shown is a suggested default based on the architecture above — adjust to reflect actual division of work before final submission.</w:t>
      </w:r>
    </w:p>
    <w:p>
      <w:pPr>
        <w:pStyle w:val="Heading1"/>
        <w:pBdr>
          <w:bottom w:val="single" w:color="1E2761" w:sz="6" w:space="4"/>
        </w:pBdr>
        <w:spacing w:after="160" w:before="360"/>
      </w:pPr>
      <w:r>
        <w:rPr>
          <w:rFonts w:ascii="Cambria" w:cs="Cambria" w:eastAsia="Cambria" w:hAnsi="Cambria"/>
          <w:b/>
          <w:bCs/>
          <w:color w:val="1E2761"/>
          <w:sz w:val="30"/>
          <w:szCs w:val="30"/>
        </w:rPr>
        <w:t xml:space="preserve">13. Future Enhancements</w:t>
      </w:r>
    </w:p>
    <w:p>
      <w:pPr>
        <w:pStyle w:val="ListParagraph"/>
        <w:numPr>
          <w:ilvl w:val="0"/>
          <w:numId w:val="2"/>
        </w:numPr>
        <w:spacing w:after="80" w:line="280"/>
      </w:pPr>
      <w:r>
        <w:rPr>
          <w:rFonts w:ascii="Calibri" w:cs="Calibri" w:eastAsia="Calibri" w:hAnsi="Calibri"/>
          <w:color w:val="222222"/>
          <w:sz w:val="22"/>
          <w:szCs w:val="22"/>
        </w:rPr>
        <w:t xml:space="preserve">TLS encryption of the custom TCP channel.</w:t>
      </w:r>
    </w:p>
    <w:p>
      <w:pPr>
        <w:pStyle w:val="ListParagraph"/>
        <w:numPr>
          <w:ilvl w:val="0"/>
          <w:numId w:val="2"/>
        </w:numPr>
        <w:spacing w:after="80" w:line="280"/>
      </w:pPr>
      <w:r>
        <w:rPr>
          <w:rFonts w:ascii="Calibri" w:cs="Calibri" w:eastAsia="Calibri" w:hAnsi="Calibri"/>
          <w:color w:val="222222"/>
          <w:sz w:val="22"/>
          <w:szCs w:val="22"/>
        </w:rPr>
        <w:t xml:space="preserve">Gateway for interoperability with external SMTP servers.</w:t>
      </w:r>
    </w:p>
    <w:p>
      <w:pPr>
        <w:pStyle w:val="ListParagraph"/>
        <w:numPr>
          <w:ilvl w:val="0"/>
          <w:numId w:val="2"/>
        </w:numPr>
        <w:spacing w:after="80" w:line="280"/>
      </w:pPr>
      <w:r>
        <w:rPr>
          <w:rFonts w:ascii="Calibri" w:cs="Calibri" w:eastAsia="Calibri" w:hAnsi="Calibri"/>
          <w:color w:val="222222"/>
          <w:sz w:val="22"/>
          <w:szCs w:val="22"/>
        </w:rPr>
        <w:t xml:space="preserve">Real-time inbox updates via WebSockets.</w:t>
      </w:r>
    </w:p>
    <w:p>
      <w:pPr>
        <w:pStyle w:val="ListParagraph"/>
        <w:numPr>
          <w:ilvl w:val="0"/>
          <w:numId w:val="2"/>
        </w:numPr>
        <w:spacing w:after="80" w:line="280"/>
      </w:pPr>
      <w:r>
        <w:rPr>
          <w:rFonts w:ascii="Calibri" w:cs="Calibri" w:eastAsia="Calibri" w:hAnsi="Calibri"/>
          <w:color w:val="222222"/>
          <w:sz w:val="22"/>
          <w:szCs w:val="22"/>
        </w:rPr>
        <w:t xml:space="preserve">Containerized deployment (Docker) for one-command grading/demo setup.</w:t>
      </w:r>
    </w:p>
    <w:p>
      <w:pPr>
        <w:pStyle w:val="ListParagraph"/>
        <w:numPr>
          <w:ilvl w:val="0"/>
          <w:numId w:val="2"/>
        </w:numPr>
        <w:spacing w:after="80" w:line="280"/>
      </w:pPr>
      <w:r>
        <w:rPr>
          <w:rFonts w:ascii="Calibri" w:cs="Calibri" w:eastAsia="Calibri" w:hAnsi="Calibri"/>
          <w:color w:val="222222"/>
          <w:sz w:val="22"/>
          <w:szCs w:val="22"/>
        </w:rPr>
        <w:t xml:space="preserve">Rate limiting and basic spam/abuse detection.</w:t>
      </w:r>
    </w:p>
    <w:p>
      <w:pPr>
        <w:pStyle w:val="Heading1"/>
        <w:pBdr>
          <w:bottom w:val="single" w:color="1E2761" w:sz="6" w:space="4"/>
        </w:pBdr>
        <w:spacing w:after="160" w:before="360"/>
      </w:pPr>
      <w:r>
        <w:rPr>
          <w:rFonts w:ascii="Cambria" w:cs="Cambria" w:eastAsia="Cambria" w:hAnsi="Cambria"/>
          <w:b/>
          <w:bCs/>
          <w:color w:val="1E2761"/>
          <w:sz w:val="30"/>
          <w:szCs w:val="30"/>
        </w:rPr>
        <w:t xml:space="preserve">Appendix A: Resume-Ready Highlights</w:t>
      </w:r>
    </w:p>
    <w:p>
      <w:pPr>
        <w:spacing w:after="140" w:line="300"/>
      </w:pPr>
      <w:r>
        <w:rPr>
          <w:rFonts w:ascii="Calibri" w:cs="Calibri" w:eastAsia="Calibri" w:hAnsi="Calibri"/>
          <w:color w:val="222222"/>
          <w:sz w:val="22"/>
          <w:szCs w:val="22"/>
        </w:rPr>
        <w:t xml:space="preserve">Concrete, verifiable phrasing for a resume or portfolio, directly traceable to the work above:</w:t>
      </w:r>
    </w:p>
    <w:p>
      <w:pPr>
        <w:pStyle w:val="ListParagraph"/>
        <w:numPr>
          <w:ilvl w:val="0"/>
          <w:numId w:val="2"/>
        </w:numPr>
        <w:spacing w:after="80" w:line="280"/>
      </w:pPr>
      <w:r>
        <w:rPr>
          <w:rFonts w:ascii="Calibri" w:cs="Calibri" w:eastAsia="Calibri" w:hAnsi="Calibri"/>
          <w:color w:val="222222"/>
          <w:sz w:val="22"/>
          <w:szCs w:val="22"/>
        </w:rPr>
        <w:t xml:space="preserve">Designed and implemented a custom length-prefixed application-layer protocol over raw TCP sockets, supporting concurrent multi-client sessions via a thread-per-connection model.</w:t>
      </w:r>
    </w:p>
    <w:p>
      <w:pPr>
        <w:pStyle w:val="ListParagraph"/>
        <w:numPr>
          <w:ilvl w:val="0"/>
          <w:numId w:val="2"/>
        </w:numPr>
        <w:spacing w:after="80" w:line="280"/>
      </w:pPr>
      <w:r>
        <w:rPr>
          <w:rFonts w:ascii="Calibri" w:cs="Calibri" w:eastAsia="Calibri" w:hAnsi="Calibri"/>
          <w:color w:val="222222"/>
          <w:sz w:val="22"/>
          <w:szCs w:val="22"/>
        </w:rPr>
        <w:t xml:space="preserve">Built a MIME multipart encoder/parser from first principles for multimedia (image, audio, video) email attachments, including Base64 transcoding and safe disk persistence.</w:t>
      </w:r>
    </w:p>
    <w:p>
      <w:pPr>
        <w:pStyle w:val="ListParagraph"/>
        <w:numPr>
          <w:ilvl w:val="0"/>
          <w:numId w:val="2"/>
        </w:numPr>
        <w:spacing w:after="80" w:line="280"/>
      </w:pPr>
      <w:r>
        <w:rPr>
          <w:rFonts w:ascii="Calibri" w:cs="Calibri" w:eastAsia="Calibri" w:hAnsi="Calibri"/>
          <w:color w:val="222222"/>
          <w:sz w:val="22"/>
          <w:szCs w:val="22"/>
        </w:rPr>
        <w:t xml:space="preserve">Designed a normalized relational schema (SQLite) enforcing referential integrity across users, emails, recipients, and attachments.</w:t>
      </w:r>
    </w:p>
    <w:p>
      <w:pPr>
        <w:pStyle w:val="ListParagraph"/>
        <w:numPr>
          <w:ilvl w:val="0"/>
          <w:numId w:val="2"/>
        </w:numPr>
        <w:spacing w:after="80" w:line="280"/>
      </w:pPr>
      <w:r>
        <w:rPr>
          <w:rFonts w:ascii="Calibri" w:cs="Calibri" w:eastAsia="Calibri" w:hAnsi="Calibri"/>
          <w:color w:val="222222"/>
          <w:sz w:val="22"/>
          <w:szCs w:val="22"/>
        </w:rPr>
        <w:t xml:space="preserve">Developed a full-stack messaging application (Next.js frontend, Python socket backend) bridging HTTP and a custom TCP protocol.</w:t>
      </w:r>
    </w:p>
    <w:p>
      <w:pPr>
        <w:pStyle w:val="ListParagraph"/>
        <w:numPr>
          <w:ilvl w:val="0"/>
          <w:numId w:val="2"/>
        </w:numPr>
        <w:spacing w:after="80" w:line="280"/>
      </w:pPr>
      <w:r>
        <w:rPr>
          <w:rFonts w:ascii="Calibri" w:cs="Calibri" w:eastAsia="Calibri" w:hAnsi="Calibri"/>
          <w:color w:val="222222"/>
          <w:sz w:val="22"/>
          <w:szCs w:val="22"/>
        </w:rPr>
        <w:t xml:space="preserve">Implemented secure authentication with hashed credentials, rate-limited login attempts, and session-scoped authorization.</w:t>
      </w:r>
    </w:p>
    <w:sectPr>
      <w:headerReference w:type="default" r:id="rId7"/>
      <w:footerReference w:type="default" r:id="rId8"/>
      <w:pgSz w:w="11906" w:h="16838"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6"/>
        <w:sz w:val="16"/>
        <w:szCs w:val="16"/>
      </w:rPr>
      <w:t xml:space="preserve">Page </w:t>
    </w:r>
    <w:r>
      <w:rPr>
        <w:rFonts w:ascii="Calibri" w:cs="Calibri" w:eastAsia="Calibri" w:hAnsi="Calibri"/>
        <w:color w:val="5B6B76"/>
        <w:sz w:val="16"/>
        <w:szCs w:val="16"/>
      </w:rPr>
      <w:fldChar w:fldCharType="begin"/>
      <w:instrText xml:space="preserve">PAGE</w:instrText>
      <w:fldChar w:fldCharType="separate"/>
      <w:fldChar w:fldCharType="end"/>
    </w:r>
    <w:r>
      <w:rPr>
        <w:rFonts w:ascii="Calibri" w:cs="Calibri" w:eastAsia="Calibri" w:hAnsi="Calibri"/>
        <w:color w:val="5B6B76"/>
        <w:sz w:val="16"/>
        <w:szCs w:val="16"/>
      </w:rPr>
      <w:t xml:space="preserve"> of </w:t>
    </w:r>
    <w:r>
      <w:rPr>
        <w:rFonts w:ascii="Calibri" w:cs="Calibri" w:eastAsia="Calibri" w:hAnsi="Calibri"/>
        <w:color w:val="5B6B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8" w:sz="4" w:space="4"/>
      </w:pBdr>
      <w:jc w:val="right"/>
    </w:pPr>
    <w:r>
      <w:rPr>
        <w:rFonts w:ascii="Calibri" w:cs="Calibri" w:eastAsia="Calibri" w:hAnsi="Calibri"/>
        <w:color w:val="5B6B76"/>
        <w:sz w:val="16"/>
        <w:szCs w:val="16"/>
      </w:rPr>
      <w:t xml:space="preserve">MIME-Based Multimedia Email Handler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27475"/>
      </w:rPr>
    </w:lvl>
    <w:lvl w:ilvl="1" w15:tentative="1">
      <w:start w:val="1"/>
      <w:numFmt w:val="bullet"/>
      <w:lvlText w:val="–"/>
      <w:lvlJc w:val="left"/>
      <w:pPr>
        <w:ind w:left="860" w:hanging="260"/>
      </w:pPr>
      <w:rPr>
        <w:rFonts w:ascii="Calibri" w:cs="Calibri" w:eastAsia="Calibri" w:hAnsi="Calibri"/>
        <w:color w:val="5B6B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2026-09-01T23:36:44.765Z</dcterms:created>
  <dcterms:modified xsi:type="dcterms:W3CDTF">2026-09-01T23:36:44.765Z</dcterms:modified>
</cp:coreProperties>
</file>

<file path=docProps/custom.xml><?xml version="1.0" encoding="utf-8"?>
<Properties xmlns="http://schemas.openxmlformats.org/officeDocument/2006/custom-properties" xmlns:vt="http://schemas.openxmlformats.org/officeDocument/2006/docPropsVTypes"/>
</file>