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0F6E6E"/>
          <w:spacing w:val="20"/>
          <w:sz w:val="26"/>
          <w:szCs w:val="26"/>
        </w:rPr>
        <w:t xml:space="preserve">SOFTWARE REQUIREMENTS SPECIFICATION</w:t>
      </w:r>
    </w:p>
    <w:p>
      <w:pPr>
        <w:spacing w:after="100" w:before="200"/>
        <w:jc w:val="center"/>
      </w:pPr>
      <w:r>
        <w:rPr>
          <w:b/>
          <w:bCs/>
          <w:color w:val="1F3864"/>
          <w:sz w:val="56"/>
          <w:szCs w:val="56"/>
        </w:rPr>
        <w:t xml:space="preserve">FORGR</w:t>
      </w:r>
    </w:p>
    <w:p>
      <w:pPr>
        <w:spacing w:after="600" w:before="0"/>
        <w:jc w:val="center"/>
      </w:pPr>
      <w:r>
        <w:rPr>
          <w:i/>
          <w:iCs/>
          <w:color w:val="595959"/>
          <w:sz w:val="26"/>
          <w:szCs w:val="26"/>
        </w:rPr>
        <w:t xml:space="preserve">AI-Powered 360° Student Performance &amp; Employability Analytics Platform</w:t>
      </w:r>
    </w:p>
    <w:p>
      <w:pPr>
        <w:spacing w:after="0" w:before="1200"/>
        <w:jc w:val="center"/>
      </w:pPr>
      <w:r>
        <w:rPr>
          <w:color w:val="262626"/>
          <w:sz w:val="22"/>
          <w:szCs w:val="22"/>
        </w:rPr>
        <w:t xml:space="preserve">Document Version: 1.0</w:t>
      </w:r>
    </w:p>
    <w:p>
      <w:pPr>
        <w:spacing w:after="0" w:before="100"/>
        <w:jc w:val="center"/>
      </w:pPr>
      <w:r>
        <w:rPr>
          <w:color w:val="262626"/>
          <w:sz w:val="22"/>
          <w:szCs w:val="22"/>
        </w:rPr>
        <w:t xml:space="preserve">Prepared for: Data Science Capstone Project — Phase 2 (Data Understanding &amp; Requirement Analysis)</w:t>
      </w:r>
    </w:p>
    <w:p>
      <w:pPr>
        <w:spacing w:after="1800" w:before="100"/>
        <w:jc w:val="center"/>
      </w:pPr>
      <w:r>
        <w:rPr>
          <w:color w:val="262626"/>
          <w:sz w:val="22"/>
          <w:szCs w:val="22"/>
        </w:rPr>
        <w:t xml:space="preserve">Date: 29 July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50"/>
        <w:gridCol w:w="2700"/>
        <w:gridCol w:w="3400"/>
      </w:tblGrid>
      <w:tr>
        <w:trPr>
          <w:tblHeader/>
        </w:trPr>
        <w:tc>
          <w:tcPr>
            <w:tcW w:type="dxa" w:w="3250"/>
            <w:shd w:fill="1F3864" w:val="clear"/>
            <w:tcMar>
              <w:top w:type="dxa" w:w="80"/>
              <w:left w:type="dxa" w:w="100"/>
              <w:bottom w:type="dxa" w:w="80"/>
              <w:right w:type="dxa" w:w="100"/>
            </w:tcMar>
            <w:vAlign w:val="center"/>
          </w:tcPr>
          <w:p>
            <w:r>
              <w:rPr>
                <w:b/>
                <w:bCs/>
                <w:color w:val="FFFFFF"/>
                <w:sz w:val="20"/>
                <w:szCs w:val="20"/>
              </w:rPr>
              <w:t xml:space="preserve">Version</w:t>
            </w:r>
          </w:p>
        </w:tc>
        <w:tc>
          <w:tcPr>
            <w:tcW w:type="dxa" w:w="2700"/>
            <w:shd w:fill="1F3864" w:val="clear"/>
            <w:tcMar>
              <w:top w:type="dxa" w:w="80"/>
              <w:left w:type="dxa" w:w="100"/>
              <w:bottom w:type="dxa" w:w="80"/>
              <w:right w:type="dxa" w:w="100"/>
            </w:tcMar>
            <w:vAlign w:val="center"/>
          </w:tcPr>
          <w:p>
            <w:r>
              <w:rPr>
                <w:b/>
                <w:bCs/>
                <w:color w:val="FFFFFF"/>
                <w:sz w:val="20"/>
                <w:szCs w:val="20"/>
              </w:rPr>
              <w:t xml:space="preserve">Date</w:t>
            </w:r>
          </w:p>
        </w:tc>
        <w:tc>
          <w:tcPr>
            <w:tcW w:type="dxa" w:w="34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250"/>
            <w:tcMar>
              <w:top w:type="dxa" w:w="80"/>
              <w:left w:type="dxa" w:w="100"/>
              <w:bottom w:type="dxa" w:w="80"/>
              <w:right w:type="dxa" w:w="100"/>
            </w:tcMar>
            <w:vAlign w:val="center"/>
          </w:tcPr>
          <w:p>
            <w:r>
              <w:rPr>
                <w:b w:val="false"/>
                <w:bCs w:val="false"/>
                <w:color w:val="262626"/>
                <w:sz w:val="19"/>
                <w:szCs w:val="19"/>
              </w:rPr>
              <w:t xml:space="preserve">0.1</w:t>
            </w:r>
          </w:p>
        </w:tc>
        <w:tc>
          <w:tcPr>
            <w:tcW w:type="dxa" w:w="2700"/>
            <w:tcMar>
              <w:top w:type="dxa" w:w="80"/>
              <w:left w:type="dxa" w:w="100"/>
              <w:bottom w:type="dxa" w:w="80"/>
              <w:right w:type="dxa" w:w="100"/>
            </w:tcMar>
            <w:vAlign w:val="center"/>
          </w:tcPr>
          <w:p>
            <w:r>
              <w:rPr>
                <w:b w:val="false"/>
                <w:bCs w:val="false"/>
                <w:color w:val="262626"/>
                <w:sz w:val="19"/>
                <w:szCs w:val="19"/>
              </w:rPr>
              <w:t xml:space="preserve">15 Jul 2026</w:t>
            </w:r>
          </w:p>
        </w:tc>
        <w:tc>
          <w:tcPr>
            <w:tcW w:type="dxa" w:w="3400"/>
            <w:tcMar>
              <w:top w:type="dxa" w:w="80"/>
              <w:left w:type="dxa" w:w="100"/>
              <w:bottom w:type="dxa" w:w="80"/>
              <w:right w:type="dxa" w:w="100"/>
            </w:tcMar>
            <w:vAlign w:val="center"/>
          </w:tcPr>
          <w:p>
            <w:r>
              <w:rPr>
                <w:b w:val="false"/>
                <w:bCs w:val="false"/>
                <w:color w:val="262626"/>
                <w:sz w:val="19"/>
                <w:szCs w:val="19"/>
              </w:rPr>
              <w:t xml:space="preserve">Initial draft after domain research (Phase 1)</w:t>
            </w:r>
          </w:p>
        </w:tc>
      </w:tr>
      <w:tr>
        <w:tc>
          <w:tcPr>
            <w:tcW w:type="dxa" w:w="3250"/>
            <w:shd w:fill="F2F2F2" w:val="clear"/>
            <w:tcMar>
              <w:top w:type="dxa" w:w="80"/>
              <w:left w:type="dxa" w:w="100"/>
              <w:bottom w:type="dxa" w:w="80"/>
              <w:right w:type="dxa" w:w="100"/>
            </w:tcMar>
            <w:vAlign w:val="center"/>
          </w:tcPr>
          <w:p>
            <w:r>
              <w:rPr>
                <w:b w:val="false"/>
                <w:bCs w:val="false"/>
                <w:color w:val="262626"/>
                <w:sz w:val="19"/>
                <w:szCs w:val="19"/>
              </w:rPr>
              <w:t xml:space="preserve">1.0</w:t>
            </w:r>
          </w:p>
        </w:tc>
        <w:tc>
          <w:tcPr>
            <w:tcW w:type="dxa" w:w="2700"/>
            <w:shd w:fill="F2F2F2" w:val="clear"/>
            <w:tcMar>
              <w:top w:type="dxa" w:w="80"/>
              <w:left w:type="dxa" w:w="100"/>
              <w:bottom w:type="dxa" w:w="80"/>
              <w:right w:type="dxa" w:w="100"/>
            </w:tcMar>
            <w:vAlign w:val="center"/>
          </w:tcPr>
          <w:p>
            <w:r>
              <w:rPr>
                <w:b w:val="false"/>
                <w:bCs w:val="false"/>
                <w:color w:val="262626"/>
                <w:sz w:val="19"/>
                <w:szCs w:val="19"/>
              </w:rPr>
              <w:t xml:space="preserve">29 Jul 2026</w:t>
            </w:r>
          </w:p>
        </w:tc>
        <w:tc>
          <w:tcPr>
            <w:tcW w:type="dxa" w:w="3400"/>
            <w:shd w:fill="F2F2F2" w:val="clear"/>
            <w:tcMar>
              <w:top w:type="dxa" w:w="80"/>
              <w:left w:type="dxa" w:w="100"/>
              <w:bottom w:type="dxa" w:w="80"/>
              <w:right w:type="dxa" w:w="100"/>
            </w:tcMar>
            <w:vAlign w:val="center"/>
          </w:tcPr>
          <w:p>
            <w:r>
              <w:rPr>
                <w:b w:val="false"/>
                <w:bCs w:val="false"/>
                <w:color w:val="262626"/>
                <w:sz w:val="19"/>
                <w:szCs w:val="19"/>
              </w:rPr>
              <w:t xml:space="preserve">Baseline SRS for stakeholder &amp; faculty sign-off</w:t>
            </w:r>
          </w:p>
        </w:tc>
      </w:tr>
    </w:tbl>
    <w:p>
      <w:pPr>
        <w:sectPr>
          <w:pgSz w:w="12240" w:h="15840" w:orient="portrait"/>
          <w:pgMar w:top="1440" w:right="1350" w:bottom="1440" w:left="1350" w:header="708" w:footer="708" w:gutter="0"/>
          <w:pgNumType/>
          <w:docGrid w:linePitch="360"/>
        </w:sectPr>
      </w:pPr>
    </w:p>
    <w:p>
      <w:pPr>
        <w:pStyle w:val="Heading1"/>
        <w:pBdr>
          <w:bottom w:val="single" w:color="1F3864" w:sz="8" w:space="4"/>
        </w:pBdr>
        <w:spacing w:after="200" w:before="400"/>
      </w:pPr>
      <w:r>
        <w:rPr>
          <w:b/>
          <w:bCs/>
          <w:color w:val="1F3864"/>
          <w:sz w:val="30"/>
          <w:szCs w:val="30"/>
        </w:rPr>
        <w:t xml:space="preserve">1.  Introduction</w:t>
      </w:r>
    </w:p>
    <w:p>
      <w:pPr>
        <w:pStyle w:val="Heading2"/>
        <w:spacing w:after="140" w:before="280"/>
      </w:pPr>
      <w:r>
        <w:rPr>
          <w:b/>
          <w:bCs/>
          <w:color w:val="0F6E6E"/>
          <w:sz w:val="24"/>
          <w:szCs w:val="24"/>
        </w:rPr>
        <w:t xml:space="preserve">1.1  Purpose</w:t>
      </w:r>
    </w:p>
    <w:p>
      <w:pPr>
        <w:spacing w:after="160" w:line="276"/>
      </w:pPr>
      <w:r>
        <w:rPr>
          <w:color w:val="262626"/>
          <w:sz w:val="21"/>
          <w:szCs w:val="21"/>
        </w:rPr>
        <w:t xml:space="preserve">This Software Requirements Specification (SRS) defines the functional, data, and non-functional requirements for the FORGR — an AI-powered platform that consolidates a student's academic, skills, activity, and placement records into a single 360° profile and predicts employability readiness and academic risk. This document translates the problem statement and domain research produced in Phase 1 of the capstone project into the clear analytical requirements, data requirements, and success criteria expected in Phase 2 (Data Understanding &amp; Requirement Analysis), and serves as the baseline reference for design, data preparation, model building, and evaluation in the phases that follow.</w:t>
      </w:r>
    </w:p>
    <w:p>
      <w:pPr>
        <w:pStyle w:val="Heading2"/>
        <w:spacing w:after="140" w:before="280"/>
      </w:pPr>
      <w:r>
        <w:rPr>
          <w:b/>
          <w:bCs/>
          <w:color w:val="0F6E6E"/>
          <w:sz w:val="24"/>
          <w:szCs w:val="24"/>
        </w:rPr>
        <w:t xml:space="preserve">1.2  Scope</w:t>
      </w:r>
    </w:p>
    <w:p>
      <w:pPr>
        <w:spacing w:after="160" w:line="276"/>
      </w:pPr>
      <w:r>
        <w:rPr>
          <w:color w:val="262626"/>
          <w:sz w:val="21"/>
          <w:szCs w:val="21"/>
        </w:rPr>
        <w:t xml:space="preserve">FORGR will:</w:t>
      </w:r>
    </w:p>
    <w:p>
      <w:pPr>
        <w:pStyle w:val="ListParagraph"/>
        <w:numPr>
          <w:ilvl w:val="0"/>
          <w:numId w:val="2"/>
        </w:numPr>
        <w:spacing w:after="80" w:line="268"/>
      </w:pPr>
      <w:r>
        <w:rPr>
          <w:color w:val="262626"/>
          <w:sz w:val="21"/>
          <w:szCs w:val="21"/>
        </w:rPr>
        <w:t xml:space="preserve">Aggregate academic, skill, activity, portfolio, and placement data for every student from first year through graduation into one profile.</w:t>
      </w:r>
    </w:p>
    <w:p>
      <w:pPr>
        <w:pStyle w:val="ListParagraph"/>
        <w:numPr>
          <w:ilvl w:val="0"/>
          <w:numId w:val="2"/>
        </w:numPr>
        <w:spacing w:after="80" w:line="268"/>
      </w:pPr>
      <w:r>
        <w:rPr>
          <w:color w:val="262626"/>
          <w:sz w:val="21"/>
          <w:szCs w:val="21"/>
        </w:rPr>
        <w:t xml:space="preserve">Compute a weighted 0–100 Employability Score refreshed as new data arrives.</w:t>
      </w:r>
    </w:p>
    <w:p>
      <w:pPr>
        <w:pStyle w:val="ListParagraph"/>
        <w:numPr>
          <w:ilvl w:val="0"/>
          <w:numId w:val="2"/>
        </w:numPr>
        <w:spacing w:after="80" w:line="268"/>
      </w:pPr>
      <w:r>
        <w:rPr>
          <w:color w:val="262626"/>
          <w:sz w:val="21"/>
          <w:szCs w:val="21"/>
        </w:rPr>
        <w:t xml:space="preserve">Predict backlog, dropout, low-attendance, and low-placement-probability risk using classical ML models (Logistic Regression, Random Forest, XGBoost).</w:t>
      </w:r>
    </w:p>
    <w:p>
      <w:pPr>
        <w:pStyle w:val="ListParagraph"/>
        <w:numPr>
          <w:ilvl w:val="0"/>
          <w:numId w:val="2"/>
        </w:numPr>
        <w:spacing w:after="80" w:line="268"/>
      </w:pPr>
      <w:r>
        <w:rPr>
          <w:color w:val="262626"/>
          <w:sz w:val="21"/>
          <w:szCs w:val="21"/>
        </w:rPr>
        <w:t xml:space="preserve">Provide five role-based dashboards — Student, Faculty, Placement Cell, Parent, and Recruiter — each scoped to what that role may view or edit.</w:t>
      </w:r>
    </w:p>
    <w:p>
      <w:pPr>
        <w:pStyle w:val="ListParagraph"/>
        <w:numPr>
          <w:ilvl w:val="0"/>
          <w:numId w:val="2"/>
        </w:numPr>
        <w:spacing w:after="80" w:line="268"/>
      </w:pPr>
      <w:r>
        <w:rPr>
          <w:color w:val="262626"/>
          <w:sz w:val="21"/>
          <w:szCs w:val="21"/>
        </w:rPr>
        <w:t xml:space="preserve">Expose the above through a REST API secured with JWT-based role access control.</w:t>
      </w:r>
    </w:p>
    <w:p>
      <w:pPr>
        <w:spacing w:after="160" w:line="276"/>
      </w:pPr>
      <w:r>
        <w:rPr>
          <w:color w:val="262626"/>
          <w:sz w:val="21"/>
          <w:szCs w:val="21"/>
        </w:rPr>
        <w:t xml:space="preserve">Out of scope for the initial (capstone-timeline) release: mobile native apps, payment/finance modules, integration with third-party ERPs beyond CSV/API import, and real-time video-based proctoring or interview analysis.</w:t>
      </w:r>
    </w:p>
    <w:p>
      <w:pPr>
        <w:pStyle w:val="Heading2"/>
        <w:spacing w:after="140" w:before="280"/>
      </w:pPr>
      <w:r>
        <w:rPr>
          <w:b/>
          <w:bCs/>
          <w:color w:val="0F6E6E"/>
          <w:sz w:val="24"/>
          <w:szCs w:val="24"/>
        </w:rPr>
        <w:t xml:space="preserve">1.3  Intended Audience</w:t>
      </w:r>
    </w:p>
    <w:p>
      <w:pPr>
        <w:pStyle w:val="ListParagraph"/>
        <w:numPr>
          <w:ilvl w:val="0"/>
          <w:numId w:val="2"/>
        </w:numPr>
        <w:spacing w:after="80" w:line="268"/>
      </w:pPr>
      <w:r>
        <w:rPr>
          <w:color w:val="262626"/>
          <w:sz w:val="21"/>
          <w:szCs w:val="21"/>
        </w:rPr>
        <w:t xml:space="preserve">Capstone evaluators / faculty guide — to assess completeness of requirement analysis.</w:t>
      </w:r>
    </w:p>
    <w:p>
      <w:pPr>
        <w:pStyle w:val="ListParagraph"/>
        <w:numPr>
          <w:ilvl w:val="0"/>
          <w:numId w:val="2"/>
        </w:numPr>
        <w:spacing w:after="80" w:line="268"/>
      </w:pPr>
      <w:r>
        <w:rPr>
          <w:color w:val="262626"/>
          <w:sz w:val="21"/>
          <w:szCs w:val="21"/>
        </w:rPr>
        <w:t xml:space="preserve">Development team (self) — as the build reference for Phases 3–8.</w:t>
      </w:r>
    </w:p>
    <w:p>
      <w:pPr>
        <w:pStyle w:val="ListParagraph"/>
        <w:numPr>
          <w:ilvl w:val="0"/>
          <w:numId w:val="2"/>
        </w:numPr>
        <w:spacing w:after="80" w:line="268"/>
      </w:pPr>
      <w:r>
        <w:rPr>
          <w:color w:val="262626"/>
          <w:sz w:val="21"/>
          <w:szCs w:val="21"/>
        </w:rPr>
        <w:t xml:space="preserve">Institutional stakeholders (placement cell, HOD) — as a description of what the system will and will not do.</w:t>
      </w:r>
    </w:p>
    <w:p>
      <w:pPr>
        <w:pStyle w:val="Heading2"/>
        <w:spacing w:after="140" w:before="280"/>
      </w:pPr>
      <w:r>
        <w:rPr>
          <w:b/>
          <w:bCs/>
          <w:color w:val="0F6E6E"/>
          <w:sz w:val="24"/>
          <w:szCs w:val="24"/>
        </w:rPr>
        <w:t xml:space="preserve">1.4  Definitions, Acronyms &amp;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Term</w:t>
            </w:r>
          </w:p>
        </w:tc>
        <w:tc>
          <w:tcPr>
            <w:tcW w:type="dxa" w:w="6950"/>
            <w:shd w:fill="1F3864" w:val="clear"/>
            <w:tcMar>
              <w:top w:type="dxa" w:w="80"/>
              <w:left w:type="dxa" w:w="100"/>
              <w:bottom w:type="dxa" w:w="80"/>
              <w:right w:type="dxa" w:w="100"/>
            </w:tcMar>
            <w:vAlign w:val="center"/>
          </w:tcPr>
          <w:p>
            <w:r>
              <w:rPr>
                <w:b/>
                <w:bCs/>
                <w:color w:val="FFFFFF"/>
                <w:sz w:val="20"/>
                <w:szCs w:val="20"/>
              </w:rPr>
              <w:t xml:space="preserve">Definition</w:t>
            </w:r>
          </w:p>
        </w:tc>
      </w:tr>
      <w:tr>
        <w:tc>
          <w:tcPr>
            <w:tcW w:type="dxa" w:w="2400"/>
            <w:tcMar>
              <w:top w:type="dxa" w:w="80"/>
              <w:left w:type="dxa" w:w="100"/>
              <w:bottom w:type="dxa" w:w="80"/>
              <w:right w:type="dxa" w:w="100"/>
            </w:tcMar>
            <w:vAlign w:val="center"/>
          </w:tcPr>
          <w:p>
            <w:r>
              <w:rPr>
                <w:b w:val="false"/>
                <w:bCs w:val="false"/>
                <w:color w:val="262626"/>
                <w:sz w:val="19"/>
                <w:szCs w:val="19"/>
              </w:rPr>
              <w:t xml:space="preserve">SRS</w:t>
            </w:r>
          </w:p>
        </w:tc>
        <w:tc>
          <w:tcPr>
            <w:tcW w:type="dxa" w:w="6950"/>
            <w:tcMar>
              <w:top w:type="dxa" w:w="80"/>
              <w:left w:type="dxa" w:w="100"/>
              <w:bottom w:type="dxa" w:w="80"/>
              <w:right w:type="dxa" w:w="100"/>
            </w:tcMar>
            <w:vAlign w:val="center"/>
          </w:tcPr>
          <w:p>
            <w:r>
              <w:rPr>
                <w:b w:val="false"/>
                <w:bCs w:val="false"/>
                <w:color w:val="262626"/>
                <w:sz w:val="19"/>
                <w:szCs w:val="19"/>
              </w:rPr>
              <w:t xml:space="preserve">Software Requirements Specification</w:t>
            </w:r>
          </w:p>
        </w:tc>
      </w:tr>
      <w:tr>
        <w:tc>
          <w:tcPr>
            <w:tcW w:type="dxa" w:w="2400"/>
            <w:shd w:fill="F2F2F2" w:val="clear"/>
            <w:tcMar>
              <w:top w:type="dxa" w:w="80"/>
              <w:left w:type="dxa" w:w="100"/>
              <w:bottom w:type="dxa" w:w="80"/>
              <w:right w:type="dxa" w:w="100"/>
            </w:tcMar>
            <w:vAlign w:val="center"/>
          </w:tcPr>
          <w:p>
            <w:r>
              <w:rPr>
                <w:b w:val="false"/>
                <w:bCs w:val="false"/>
                <w:color w:val="262626"/>
                <w:sz w:val="19"/>
                <w:szCs w:val="19"/>
              </w:rPr>
              <w:t xml:space="preserve">CGPA / SGPA</w:t>
            </w:r>
          </w:p>
        </w:tc>
        <w:tc>
          <w:tcPr>
            <w:tcW w:type="dxa" w:w="6950"/>
            <w:shd w:fill="F2F2F2" w:val="clear"/>
            <w:tcMar>
              <w:top w:type="dxa" w:w="80"/>
              <w:left w:type="dxa" w:w="100"/>
              <w:bottom w:type="dxa" w:w="80"/>
              <w:right w:type="dxa" w:w="100"/>
            </w:tcMar>
            <w:vAlign w:val="center"/>
          </w:tcPr>
          <w:p>
            <w:r>
              <w:rPr>
                <w:b w:val="false"/>
                <w:bCs w:val="false"/>
                <w:color w:val="262626"/>
                <w:sz w:val="19"/>
                <w:szCs w:val="19"/>
              </w:rPr>
              <w:t xml:space="preserve">Cumulative / Semester Grade Point Average</w:t>
            </w:r>
          </w:p>
        </w:tc>
      </w:tr>
      <w:tr>
        <w:tc>
          <w:tcPr>
            <w:tcW w:type="dxa" w:w="2400"/>
            <w:tcMar>
              <w:top w:type="dxa" w:w="80"/>
              <w:left w:type="dxa" w:w="100"/>
              <w:bottom w:type="dxa" w:w="80"/>
              <w:right w:type="dxa" w:w="100"/>
            </w:tcMar>
            <w:vAlign w:val="center"/>
          </w:tcPr>
          <w:p>
            <w:r>
              <w:rPr>
                <w:b w:val="false"/>
                <w:bCs w:val="false"/>
                <w:color w:val="262626"/>
                <w:sz w:val="19"/>
                <w:szCs w:val="19"/>
              </w:rPr>
              <w:t xml:space="preserve">ATS</w:t>
            </w:r>
          </w:p>
        </w:tc>
        <w:tc>
          <w:tcPr>
            <w:tcW w:type="dxa" w:w="6950"/>
            <w:tcMar>
              <w:top w:type="dxa" w:w="80"/>
              <w:left w:type="dxa" w:w="100"/>
              <w:bottom w:type="dxa" w:w="80"/>
              <w:right w:type="dxa" w:w="100"/>
            </w:tcMar>
            <w:vAlign w:val="center"/>
          </w:tcPr>
          <w:p>
            <w:r>
              <w:rPr>
                <w:b w:val="false"/>
                <w:bCs w:val="false"/>
                <w:color w:val="262626"/>
                <w:sz w:val="19"/>
                <w:szCs w:val="19"/>
              </w:rPr>
              <w:t xml:space="preserve">Applicant Tracking System (resume-scoring score)</w:t>
            </w:r>
          </w:p>
        </w:tc>
      </w:tr>
      <w:tr>
        <w:tc>
          <w:tcPr>
            <w:tcW w:type="dxa" w:w="2400"/>
            <w:shd w:fill="F2F2F2" w:val="clear"/>
            <w:tcMar>
              <w:top w:type="dxa" w:w="80"/>
              <w:left w:type="dxa" w:w="100"/>
              <w:bottom w:type="dxa" w:w="80"/>
              <w:right w:type="dxa" w:w="100"/>
            </w:tcMar>
            <w:vAlign w:val="center"/>
          </w:tcPr>
          <w:p>
            <w:r>
              <w:rPr>
                <w:b w:val="false"/>
                <w:bCs w:val="false"/>
                <w:color w:val="262626"/>
                <w:sz w:val="19"/>
                <w:szCs w:val="19"/>
              </w:rPr>
              <w:t xml:space="preserve">JWT</w:t>
            </w:r>
          </w:p>
        </w:tc>
        <w:tc>
          <w:tcPr>
            <w:tcW w:type="dxa" w:w="6950"/>
            <w:shd w:fill="F2F2F2" w:val="clear"/>
            <w:tcMar>
              <w:top w:type="dxa" w:w="80"/>
              <w:left w:type="dxa" w:w="100"/>
              <w:bottom w:type="dxa" w:w="80"/>
              <w:right w:type="dxa" w:w="100"/>
            </w:tcMar>
            <w:vAlign w:val="center"/>
          </w:tcPr>
          <w:p>
            <w:r>
              <w:rPr>
                <w:b w:val="false"/>
                <w:bCs w:val="false"/>
                <w:color w:val="262626"/>
                <w:sz w:val="19"/>
                <w:szCs w:val="19"/>
              </w:rPr>
              <w:t xml:space="preserve">JSON Web Token, used for stateless authenticated sessions</w:t>
            </w:r>
          </w:p>
        </w:tc>
      </w:tr>
      <w:tr>
        <w:tc>
          <w:tcPr>
            <w:tcW w:type="dxa" w:w="2400"/>
            <w:tcMar>
              <w:top w:type="dxa" w:w="80"/>
              <w:left w:type="dxa" w:w="100"/>
              <w:bottom w:type="dxa" w:w="80"/>
              <w:right w:type="dxa" w:w="100"/>
            </w:tcMar>
            <w:vAlign w:val="center"/>
          </w:tcPr>
          <w:p>
            <w:r>
              <w:rPr>
                <w:b w:val="false"/>
                <w:bCs w:val="false"/>
                <w:color w:val="262626"/>
                <w:sz w:val="19"/>
                <w:szCs w:val="19"/>
              </w:rPr>
              <w:t xml:space="preserve">RBAC</w:t>
            </w:r>
          </w:p>
        </w:tc>
        <w:tc>
          <w:tcPr>
            <w:tcW w:type="dxa" w:w="6950"/>
            <w:tcMar>
              <w:top w:type="dxa" w:w="80"/>
              <w:left w:type="dxa" w:w="100"/>
              <w:bottom w:type="dxa" w:w="80"/>
              <w:right w:type="dxa" w:w="100"/>
            </w:tcMar>
            <w:vAlign w:val="center"/>
          </w:tcPr>
          <w:p>
            <w:r>
              <w:rPr>
                <w:b w:val="false"/>
                <w:bCs w:val="false"/>
                <w:color w:val="262626"/>
                <w:sz w:val="19"/>
                <w:szCs w:val="19"/>
              </w:rPr>
              <w:t xml:space="preserve">Role-Based Access Control</w:t>
            </w:r>
          </w:p>
        </w:tc>
      </w:tr>
      <w:tr>
        <w:tc>
          <w:tcPr>
            <w:tcW w:type="dxa" w:w="2400"/>
            <w:shd w:fill="F2F2F2" w:val="clear"/>
            <w:tcMar>
              <w:top w:type="dxa" w:w="80"/>
              <w:left w:type="dxa" w:w="100"/>
              <w:bottom w:type="dxa" w:w="80"/>
              <w:right w:type="dxa" w:w="100"/>
            </w:tcMar>
            <w:vAlign w:val="center"/>
          </w:tcPr>
          <w:p>
            <w:r>
              <w:rPr>
                <w:b w:val="false"/>
                <w:bCs w:val="false"/>
                <w:color w:val="262626"/>
                <w:sz w:val="19"/>
                <w:szCs w:val="19"/>
              </w:rPr>
              <w:t xml:space="preserve">EDA</w:t>
            </w:r>
          </w:p>
        </w:tc>
        <w:tc>
          <w:tcPr>
            <w:tcW w:type="dxa" w:w="6950"/>
            <w:shd w:fill="F2F2F2" w:val="clear"/>
            <w:tcMar>
              <w:top w:type="dxa" w:w="80"/>
              <w:left w:type="dxa" w:w="100"/>
              <w:bottom w:type="dxa" w:w="80"/>
              <w:right w:type="dxa" w:w="100"/>
            </w:tcMar>
            <w:vAlign w:val="center"/>
          </w:tcPr>
          <w:p>
            <w:r>
              <w:rPr>
                <w:b w:val="false"/>
                <w:bCs w:val="false"/>
                <w:color w:val="262626"/>
                <w:sz w:val="19"/>
                <w:szCs w:val="19"/>
              </w:rPr>
              <w:t xml:space="preserve">Exploratory Data Analysis</w:t>
            </w:r>
          </w:p>
        </w:tc>
      </w:tr>
      <w:tr>
        <w:tc>
          <w:tcPr>
            <w:tcW w:type="dxa" w:w="2400"/>
            <w:tcMar>
              <w:top w:type="dxa" w:w="80"/>
              <w:left w:type="dxa" w:w="100"/>
              <w:bottom w:type="dxa" w:w="80"/>
              <w:right w:type="dxa" w:w="100"/>
            </w:tcMar>
            <w:vAlign w:val="center"/>
          </w:tcPr>
          <w:p>
            <w:r>
              <w:rPr>
                <w:b w:val="false"/>
                <w:bCs w:val="false"/>
                <w:color w:val="262626"/>
                <w:sz w:val="19"/>
                <w:szCs w:val="19"/>
              </w:rPr>
              <w:t xml:space="preserve">ERP</w:t>
            </w:r>
          </w:p>
        </w:tc>
        <w:tc>
          <w:tcPr>
            <w:tcW w:type="dxa" w:w="6950"/>
            <w:tcMar>
              <w:top w:type="dxa" w:w="80"/>
              <w:left w:type="dxa" w:w="100"/>
              <w:bottom w:type="dxa" w:w="80"/>
              <w:right w:type="dxa" w:w="100"/>
            </w:tcMar>
            <w:vAlign w:val="center"/>
          </w:tcPr>
          <w:p>
            <w:r>
              <w:rPr>
                <w:b w:val="false"/>
                <w:bCs w:val="false"/>
                <w:color w:val="262626"/>
                <w:sz w:val="19"/>
                <w:szCs w:val="19"/>
              </w:rPr>
              <w:t xml:space="preserve">Enterprise Resource Planning (institutional records system)</w:t>
            </w:r>
          </w:p>
        </w:tc>
      </w:tr>
      <w:tr>
        <w:tc>
          <w:tcPr>
            <w:tcW w:type="dxa" w:w="2400"/>
            <w:shd w:fill="F2F2F2" w:val="clear"/>
            <w:tcMar>
              <w:top w:type="dxa" w:w="80"/>
              <w:left w:type="dxa" w:w="100"/>
              <w:bottom w:type="dxa" w:w="80"/>
              <w:right w:type="dxa" w:w="100"/>
            </w:tcMar>
            <w:vAlign w:val="center"/>
          </w:tcPr>
          <w:p>
            <w:r>
              <w:rPr>
                <w:b w:val="false"/>
                <w:bCs w:val="false"/>
                <w:color w:val="262626"/>
                <w:sz w:val="19"/>
                <w:szCs w:val="19"/>
              </w:rPr>
              <w:t xml:space="preserve">Employability Score</w:t>
            </w:r>
          </w:p>
        </w:tc>
        <w:tc>
          <w:tcPr>
            <w:tcW w:type="dxa" w:w="6950"/>
            <w:shd w:fill="F2F2F2" w:val="clear"/>
            <w:tcMar>
              <w:top w:type="dxa" w:w="80"/>
              <w:left w:type="dxa" w:w="100"/>
              <w:bottom w:type="dxa" w:w="80"/>
              <w:right w:type="dxa" w:w="100"/>
            </w:tcMar>
            <w:vAlign w:val="center"/>
          </w:tcPr>
          <w:p>
            <w:r>
              <w:rPr>
                <w:b w:val="false"/>
                <w:bCs w:val="false"/>
                <w:color w:val="262626"/>
                <w:sz w:val="19"/>
                <w:szCs w:val="19"/>
              </w:rPr>
              <w:t xml:space="preserve">Composite 0–100 score computed from weighted academic, skill and activity features</w:t>
            </w:r>
          </w:p>
        </w:tc>
      </w:tr>
      <w:tr>
        <w:tc>
          <w:tcPr>
            <w:tcW w:type="dxa" w:w="2400"/>
            <w:tcMar>
              <w:top w:type="dxa" w:w="80"/>
              <w:left w:type="dxa" w:w="100"/>
              <w:bottom w:type="dxa" w:w="80"/>
              <w:right w:type="dxa" w:w="100"/>
            </w:tcMar>
            <w:vAlign w:val="center"/>
          </w:tcPr>
          <w:p>
            <w:r>
              <w:rPr>
                <w:b w:val="false"/>
                <w:bCs w:val="false"/>
                <w:color w:val="262626"/>
                <w:sz w:val="19"/>
                <w:szCs w:val="19"/>
              </w:rPr>
              <w:t xml:space="preserve">Risk Flag</w:t>
            </w:r>
          </w:p>
        </w:tc>
        <w:tc>
          <w:tcPr>
            <w:tcW w:type="dxa" w:w="6950"/>
            <w:tcMar>
              <w:top w:type="dxa" w:w="80"/>
              <w:left w:type="dxa" w:w="100"/>
              <w:bottom w:type="dxa" w:w="80"/>
              <w:right w:type="dxa" w:w="100"/>
            </w:tcMar>
            <w:vAlign w:val="center"/>
          </w:tcPr>
          <w:p>
            <w:r>
              <w:rPr>
                <w:b w:val="false"/>
                <w:bCs w:val="false"/>
                <w:color w:val="262626"/>
                <w:sz w:val="19"/>
                <w:szCs w:val="19"/>
              </w:rPr>
              <w:t xml:space="preserve">A binary/probabilistic model output indicating backlog, dropout, attendance or placement risk</w:t>
            </w:r>
          </w:p>
        </w:tc>
      </w:tr>
    </w:tbl>
    <w:p>
      <w:pPr>
        <w:pStyle w:val="Heading2"/>
        <w:spacing w:after="140" w:before="280"/>
      </w:pPr>
      <w:r>
        <w:rPr>
          <w:b/>
          <w:bCs/>
          <w:color w:val="0F6E6E"/>
          <w:sz w:val="24"/>
          <w:szCs w:val="24"/>
        </w:rPr>
        <w:t xml:space="preserve">1.5  References</w:t>
      </w:r>
    </w:p>
    <w:p>
      <w:pPr>
        <w:pStyle w:val="ListParagraph"/>
        <w:numPr>
          <w:ilvl w:val="0"/>
          <w:numId w:val="3"/>
        </w:numPr>
        <w:spacing w:after="80" w:line="268"/>
      </w:pPr>
      <w:r>
        <w:rPr>
          <w:color w:val="262626"/>
          <w:sz w:val="21"/>
          <w:szCs w:val="21"/>
        </w:rPr>
        <w:t xml:space="preserve">Data Science Capstone Project Life Cycle (End-to-End) — GNIOT, project methodology document.</w:t>
      </w:r>
    </w:p>
    <w:p>
      <w:pPr>
        <w:pStyle w:val="ListParagraph"/>
        <w:numPr>
          <w:ilvl w:val="0"/>
          <w:numId w:val="3"/>
        </w:numPr>
        <w:spacing w:after="80" w:line="268"/>
      </w:pPr>
      <w:r>
        <w:rPr>
          <w:color w:val="262626"/>
          <w:sz w:val="21"/>
          <w:szCs w:val="21"/>
        </w:rPr>
        <w:t xml:space="preserve">FORGR — System Architecture Documentation v1.0, A. Kumar.</w:t>
      </w:r>
    </w:p>
    <w:p>
      <w:pPr>
        <w:pStyle w:val="ListParagraph"/>
        <w:numPr>
          <w:ilvl w:val="0"/>
          <w:numId w:val="3"/>
        </w:numPr>
        <w:spacing w:after="80" w:line="268"/>
      </w:pPr>
      <w:r>
        <w:rPr>
          <w:color w:val="262626"/>
          <w:sz w:val="21"/>
          <w:szCs w:val="21"/>
        </w:rPr>
        <w:t xml:space="preserve">IEEE Std 830-1998 — Recommended Practice for Software Requirements Specifications (structural reference).</w:t>
      </w:r>
    </w:p>
    <w:p>
      <w:r>
        <w:br w:type="page"/>
      </w:r>
    </w:p>
    <w:p>
      <w:pPr>
        <w:pStyle w:val="Heading1"/>
        <w:pBdr>
          <w:bottom w:val="single" w:color="1F3864" w:sz="8" w:space="4"/>
        </w:pBdr>
        <w:spacing w:after="200" w:before="400"/>
      </w:pPr>
      <w:r>
        <w:rPr>
          <w:b/>
          <w:bCs/>
          <w:color w:val="1F3864"/>
          <w:sz w:val="30"/>
          <w:szCs w:val="30"/>
        </w:rPr>
        <w:t xml:space="preserve">2.  Overall Description</w:t>
      </w:r>
    </w:p>
    <w:p>
      <w:pPr>
        <w:pStyle w:val="Heading2"/>
        <w:spacing w:after="140" w:before="280"/>
      </w:pPr>
      <w:r>
        <w:rPr>
          <w:b/>
          <w:bCs/>
          <w:color w:val="0F6E6E"/>
          <w:sz w:val="24"/>
          <w:szCs w:val="24"/>
        </w:rPr>
        <w:t xml:space="preserve">2.1  Problem Statement &amp; Business Background</w:t>
      </w:r>
    </w:p>
    <w:p>
      <w:pPr>
        <w:spacing w:after="160" w:line="276"/>
      </w:pPr>
      <w:r>
        <w:rPr>
          <w:color w:val="262626"/>
          <w:sz w:val="21"/>
          <w:szCs w:val="21"/>
        </w:rPr>
        <w:t xml:space="preserve">Student data today is scattered across ERP, examination portals, placement cells, sports departments, clubs, and individual faculty records. This fragmentation means teachers cannot identify weak students early, students don't know which skills they lack, placement teams struggle to shortlist candidates, and recruiters cannot quickly evaluate an overall profile.</w:t>
      </w:r>
    </w:p>
    <w:p>
      <w:pPr>
        <w:spacing w:after="160" w:line="276"/>
      </w:pPr>
      <w:r>
        <w:rPr>
          <w:color w:val="262626"/>
          <w:sz w:val="21"/>
          <w:szCs w:val="21"/>
        </w:rPr>
        <w:t xml:space="preserve">FORGR addresses this by building a single 360° digital profile per student — from first year to graduation — covering academics, skills, sports, leadership, certifications, projects, attendance, and placements, and by predicting placement readiness, skill gaps, career-domain suitability, backlog risk, and academic-improvement trends rather than surfacing marks alone.</w:t>
      </w:r>
    </w:p>
    <w:p>
      <w:pPr>
        <w:pStyle w:val="Heading2"/>
        <w:spacing w:after="140" w:before="280"/>
      </w:pPr>
      <w:r>
        <w:rPr>
          <w:b/>
          <w:bCs/>
          <w:color w:val="0F6E6E"/>
          <w:sz w:val="24"/>
          <w:szCs w:val="24"/>
        </w:rPr>
        <w:t xml:space="preserve">2.2  Domain</w:t>
      </w:r>
    </w:p>
    <w:p>
      <w:pPr>
        <w:spacing w:after="160" w:line="276"/>
      </w:pPr>
      <w:r>
        <w:rPr>
          <w:color w:val="262626"/>
          <w:sz w:val="21"/>
          <w:szCs w:val="21"/>
        </w:rPr>
        <w:t xml:space="preserve">EdTech — specifically institutional student-performance and placement analytics for a higher-education (B.Tech-level) setting.</w:t>
      </w:r>
    </w:p>
    <w:p>
      <w:pPr>
        <w:pStyle w:val="Heading2"/>
        <w:spacing w:after="140" w:before="280"/>
      </w:pPr>
      <w:r>
        <w:rPr>
          <w:b/>
          <w:bCs/>
          <w:color w:val="0F6E6E"/>
          <w:sz w:val="24"/>
          <w:szCs w:val="24"/>
        </w:rPr>
        <w:t xml:space="preserve">2.3  Product Perspective</w:t>
      </w:r>
    </w:p>
    <w:p>
      <w:pPr>
        <w:spacing w:after="160" w:line="276"/>
      </w:pPr>
      <w:r>
        <w:rPr>
          <w:color w:val="262626"/>
          <w:sz w:val="21"/>
          <w:szCs w:val="21"/>
        </w:rPr>
        <w:t xml:space="preserve">The platform is a new, self-contained system built around five tiers: role-based dashboards, an authenticated API layer, core data services, an AI/ML analytics engine, and underlying academic/activity/placement data stores. It extends the author's existing EduInsight toolset (Python, Flask, scikit-learn); the principal new surface area is the multi-role access model and the weighted scoring / risk pipeline.</w:t>
      </w:r>
    </w:p>
    <w:p>
      <w:pPr>
        <w:pStyle w:val="Heading2"/>
        <w:spacing w:after="140" w:before="280"/>
      </w:pPr>
      <w:r>
        <w:rPr>
          <w:b/>
          <w:bCs/>
          <w:color w:val="0F6E6E"/>
          <w:sz w:val="24"/>
          <w:szCs w:val="24"/>
        </w:rPr>
        <w:t xml:space="preserve">2.4  Target Users / Stakeholders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450"/>
        <w:gridCol w:w="2600"/>
        <w:gridCol w:w="2600"/>
      </w:tblGrid>
      <w:tr>
        <w:trPr>
          <w:tblHeader/>
        </w:trPr>
        <w:tc>
          <w:tcPr>
            <w:tcW w:type="dxa" w:w="1700"/>
            <w:shd w:fill="1F3864" w:val="clear"/>
            <w:tcMar>
              <w:top w:type="dxa" w:w="80"/>
              <w:left w:type="dxa" w:w="100"/>
              <w:bottom w:type="dxa" w:w="80"/>
              <w:right w:type="dxa" w:w="100"/>
            </w:tcMar>
            <w:vAlign w:val="center"/>
          </w:tcPr>
          <w:p>
            <w:r>
              <w:rPr>
                <w:b/>
                <w:bCs/>
                <w:color w:val="FFFFFF"/>
                <w:sz w:val="20"/>
                <w:szCs w:val="20"/>
              </w:rPr>
              <w:t xml:space="preserve">Role</w:t>
            </w:r>
          </w:p>
        </w:tc>
        <w:tc>
          <w:tcPr>
            <w:tcW w:type="dxa" w:w="2450"/>
            <w:shd w:fill="1F3864" w:val="clear"/>
            <w:tcMar>
              <w:top w:type="dxa" w:w="80"/>
              <w:left w:type="dxa" w:w="100"/>
              <w:bottom w:type="dxa" w:w="80"/>
              <w:right w:type="dxa" w:w="100"/>
            </w:tcMar>
            <w:vAlign w:val="center"/>
          </w:tcPr>
          <w:p>
            <w:r>
              <w:rPr>
                <w:b/>
                <w:bCs/>
                <w:color w:val="FFFFFF"/>
                <w:sz w:val="20"/>
                <w:szCs w:val="20"/>
              </w:rPr>
              <w:t xml:space="preserve">Decision Responsibility</w:t>
            </w:r>
          </w:p>
        </w:tc>
        <w:tc>
          <w:tcPr>
            <w:tcW w:type="dxa" w:w="2600"/>
            <w:shd w:fill="1F3864" w:val="clear"/>
            <w:tcMar>
              <w:top w:type="dxa" w:w="80"/>
              <w:left w:type="dxa" w:w="100"/>
              <w:bottom w:type="dxa" w:w="80"/>
              <w:right w:type="dxa" w:w="100"/>
            </w:tcMar>
            <w:vAlign w:val="center"/>
          </w:tcPr>
          <w:p>
            <w:r>
              <w:rPr>
                <w:b/>
                <w:bCs/>
                <w:color w:val="FFFFFF"/>
                <w:sz w:val="20"/>
                <w:szCs w:val="20"/>
              </w:rPr>
              <w:t xml:space="preserve">Key Metrics They Care About</w:t>
            </w:r>
          </w:p>
        </w:tc>
        <w:tc>
          <w:tcPr>
            <w:tcW w:type="dxa" w:w="2600"/>
            <w:shd w:fill="1F3864" w:val="clear"/>
            <w:tcMar>
              <w:top w:type="dxa" w:w="80"/>
              <w:left w:type="dxa" w:w="100"/>
              <w:bottom w:type="dxa" w:w="80"/>
              <w:right w:type="dxa" w:w="100"/>
            </w:tcMar>
            <w:vAlign w:val="center"/>
          </w:tcPr>
          <w:p>
            <w:r>
              <w:rPr>
                <w:b/>
                <w:bCs/>
                <w:color w:val="FFFFFF"/>
                <w:sz w:val="20"/>
                <w:szCs w:val="20"/>
              </w:rPr>
              <w:t xml:space="preserve">Pain Points Addressed</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Student</w:t>
            </w:r>
          </w:p>
        </w:tc>
        <w:tc>
          <w:tcPr>
            <w:tcW w:type="dxa" w:w="2450"/>
            <w:tcMar>
              <w:top w:type="dxa" w:w="80"/>
              <w:left w:type="dxa" w:w="100"/>
              <w:bottom w:type="dxa" w:w="80"/>
              <w:right w:type="dxa" w:w="100"/>
            </w:tcMar>
            <w:vAlign w:val="center"/>
          </w:tcPr>
          <w:p>
            <w:r>
              <w:rPr>
                <w:b w:val="false"/>
                <w:bCs w:val="false"/>
                <w:color w:val="262626"/>
                <w:sz w:val="19"/>
                <w:szCs w:val="19"/>
              </w:rPr>
              <w:t xml:space="preserve">Choosing skills/certifications to pursue; tracking own growth</w:t>
            </w:r>
          </w:p>
        </w:tc>
        <w:tc>
          <w:tcPr>
            <w:tcW w:type="dxa" w:w="2600"/>
            <w:tcMar>
              <w:top w:type="dxa" w:w="80"/>
              <w:left w:type="dxa" w:w="100"/>
              <w:bottom w:type="dxa" w:w="80"/>
              <w:right w:type="dxa" w:w="100"/>
            </w:tcMar>
            <w:vAlign w:val="center"/>
          </w:tcPr>
          <w:p>
            <w:r>
              <w:rPr>
                <w:b w:val="false"/>
                <w:bCs w:val="false"/>
                <w:color w:val="262626"/>
                <w:sz w:val="19"/>
                <w:szCs w:val="19"/>
              </w:rPr>
              <w:t xml:space="preserve">Employability score, skill gaps, growth timeline</w:t>
            </w:r>
          </w:p>
        </w:tc>
        <w:tc>
          <w:tcPr>
            <w:tcW w:type="dxa" w:w="2600"/>
            <w:tcMar>
              <w:top w:type="dxa" w:w="80"/>
              <w:left w:type="dxa" w:w="100"/>
              <w:bottom w:type="dxa" w:w="80"/>
              <w:right w:type="dxa" w:w="100"/>
            </w:tcMar>
            <w:vAlign w:val="center"/>
          </w:tcPr>
          <w:p>
            <w:r>
              <w:rPr>
                <w:b w:val="false"/>
                <w:bCs w:val="false"/>
                <w:color w:val="262626"/>
                <w:sz w:val="19"/>
                <w:szCs w:val="19"/>
              </w:rPr>
              <w:t xml:space="preserve">No single view of own strengths/weaknesses across four years</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Faculty / Mentor</w:t>
            </w:r>
          </w:p>
        </w:tc>
        <w:tc>
          <w:tcPr>
            <w:tcW w:type="dxa" w:w="2450"/>
            <w:shd w:fill="F2F2F2" w:val="clear"/>
            <w:tcMar>
              <w:top w:type="dxa" w:w="80"/>
              <w:left w:type="dxa" w:w="100"/>
              <w:bottom w:type="dxa" w:w="80"/>
              <w:right w:type="dxa" w:w="100"/>
            </w:tcMar>
            <w:vAlign w:val="center"/>
          </w:tcPr>
          <w:p>
            <w:r>
              <w:rPr>
                <w:b w:val="false"/>
                <w:bCs w:val="false"/>
                <w:color w:val="262626"/>
                <w:sz w:val="19"/>
                <w:szCs w:val="19"/>
              </w:rPr>
              <w:t xml:space="preserve">Early intervention for at-risk students</w:t>
            </w:r>
          </w:p>
        </w:tc>
        <w:tc>
          <w:tcPr>
            <w:tcW w:type="dxa" w:w="2600"/>
            <w:shd w:fill="F2F2F2" w:val="clear"/>
            <w:tcMar>
              <w:top w:type="dxa" w:w="80"/>
              <w:left w:type="dxa" w:w="100"/>
              <w:bottom w:type="dxa" w:w="80"/>
              <w:right w:type="dxa" w:w="100"/>
            </w:tcMar>
            <w:vAlign w:val="center"/>
          </w:tcPr>
          <w:p>
            <w:r>
              <w:rPr>
                <w:b w:val="false"/>
                <w:bCs w:val="false"/>
                <w:color w:val="262626"/>
                <w:sz w:val="19"/>
                <w:szCs w:val="19"/>
              </w:rPr>
              <w:t xml:space="preserve">Backlog risk, attendance risk, subject-wise marks</w:t>
            </w:r>
          </w:p>
        </w:tc>
        <w:tc>
          <w:tcPr>
            <w:tcW w:type="dxa" w:w="2600"/>
            <w:shd w:fill="F2F2F2" w:val="clear"/>
            <w:tcMar>
              <w:top w:type="dxa" w:w="80"/>
              <w:left w:type="dxa" w:w="100"/>
              <w:bottom w:type="dxa" w:w="80"/>
              <w:right w:type="dxa" w:w="100"/>
            </w:tcMar>
            <w:vAlign w:val="center"/>
          </w:tcPr>
          <w:p>
            <w:r>
              <w:rPr>
                <w:b w:val="false"/>
                <w:bCs w:val="false"/>
                <w:color w:val="262626"/>
                <w:sz w:val="19"/>
                <w:szCs w:val="19"/>
              </w:rPr>
              <w:t xml:space="preserve">Cannot identify weak students until results are declared</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Placement Cell</w:t>
            </w:r>
          </w:p>
        </w:tc>
        <w:tc>
          <w:tcPr>
            <w:tcW w:type="dxa" w:w="2450"/>
            <w:tcMar>
              <w:top w:type="dxa" w:w="80"/>
              <w:left w:type="dxa" w:w="100"/>
              <w:bottom w:type="dxa" w:w="80"/>
              <w:right w:type="dxa" w:w="100"/>
            </w:tcMar>
            <w:vAlign w:val="center"/>
          </w:tcPr>
          <w:p>
            <w:r>
              <w:rPr>
                <w:b w:val="false"/>
                <w:bCs w:val="false"/>
                <w:color w:val="262626"/>
                <w:sz w:val="19"/>
                <w:szCs w:val="19"/>
              </w:rPr>
              <w:t xml:space="preserve">Shortlisting candidates for drives</w:t>
            </w:r>
          </w:p>
        </w:tc>
        <w:tc>
          <w:tcPr>
            <w:tcW w:type="dxa" w:w="2600"/>
            <w:tcMar>
              <w:top w:type="dxa" w:w="80"/>
              <w:left w:type="dxa" w:w="100"/>
              <w:bottom w:type="dxa" w:w="80"/>
              <w:right w:type="dxa" w:w="100"/>
            </w:tcMar>
            <w:vAlign w:val="center"/>
          </w:tcPr>
          <w:p>
            <w:r>
              <w:rPr>
                <w:b w:val="false"/>
                <w:bCs w:val="false"/>
                <w:color w:val="262626"/>
                <w:sz w:val="19"/>
                <w:szCs w:val="19"/>
              </w:rPr>
              <w:t xml:space="preserve">Employability score ranking, ATS score, interview readiness</w:t>
            </w:r>
          </w:p>
        </w:tc>
        <w:tc>
          <w:tcPr>
            <w:tcW w:type="dxa" w:w="2600"/>
            <w:tcMar>
              <w:top w:type="dxa" w:w="80"/>
              <w:left w:type="dxa" w:w="100"/>
              <w:bottom w:type="dxa" w:w="80"/>
              <w:right w:type="dxa" w:w="100"/>
            </w:tcMar>
            <w:vAlign w:val="center"/>
          </w:tcPr>
          <w:p>
            <w:r>
              <w:rPr>
                <w:b w:val="false"/>
                <w:bCs w:val="false"/>
                <w:color w:val="262626"/>
                <w:sz w:val="19"/>
                <w:szCs w:val="19"/>
              </w:rPr>
              <w:t xml:space="preserve">Manual, spreadsheet-driven shortlisting with no predictive signal</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Parent</w:t>
            </w:r>
          </w:p>
        </w:tc>
        <w:tc>
          <w:tcPr>
            <w:tcW w:type="dxa" w:w="2450"/>
            <w:shd w:fill="F2F2F2" w:val="clear"/>
            <w:tcMar>
              <w:top w:type="dxa" w:w="80"/>
              <w:left w:type="dxa" w:w="100"/>
              <w:bottom w:type="dxa" w:w="80"/>
              <w:right w:type="dxa" w:w="100"/>
            </w:tcMar>
            <w:vAlign w:val="center"/>
          </w:tcPr>
          <w:p>
            <w:r>
              <w:rPr>
                <w:b w:val="false"/>
                <w:bCs w:val="false"/>
                <w:color w:val="262626"/>
                <w:sz w:val="19"/>
                <w:szCs w:val="19"/>
              </w:rPr>
              <w:t xml:space="preserve">Monitoring ward's academic/behavioural progress</w:t>
            </w:r>
          </w:p>
        </w:tc>
        <w:tc>
          <w:tcPr>
            <w:tcW w:type="dxa" w:w="2600"/>
            <w:shd w:fill="F2F2F2" w:val="clear"/>
            <w:tcMar>
              <w:top w:type="dxa" w:w="80"/>
              <w:left w:type="dxa" w:w="100"/>
              <w:bottom w:type="dxa" w:w="80"/>
              <w:right w:type="dxa" w:w="100"/>
            </w:tcMar>
            <w:vAlign w:val="center"/>
          </w:tcPr>
          <w:p>
            <w:r>
              <w:rPr>
                <w:b w:val="false"/>
                <w:bCs w:val="false"/>
                <w:color w:val="262626"/>
                <w:sz w:val="19"/>
                <w:szCs w:val="19"/>
              </w:rPr>
              <w:t xml:space="preserve">Attendance, CGPA trend, risk flags</w:t>
            </w:r>
          </w:p>
        </w:tc>
        <w:tc>
          <w:tcPr>
            <w:tcW w:type="dxa" w:w="2600"/>
            <w:shd w:fill="F2F2F2" w:val="clear"/>
            <w:tcMar>
              <w:top w:type="dxa" w:w="80"/>
              <w:left w:type="dxa" w:w="100"/>
              <w:bottom w:type="dxa" w:w="80"/>
              <w:right w:type="dxa" w:w="100"/>
            </w:tcMar>
            <w:vAlign w:val="center"/>
          </w:tcPr>
          <w:p>
            <w:r>
              <w:rPr>
                <w:b w:val="false"/>
                <w:bCs w:val="false"/>
                <w:color w:val="262626"/>
                <w:sz w:val="19"/>
                <w:szCs w:val="19"/>
              </w:rPr>
              <w:t xml:space="preserve">Limited visibility into day-to-day academic standing</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Recruiter</w:t>
            </w:r>
          </w:p>
        </w:tc>
        <w:tc>
          <w:tcPr>
            <w:tcW w:type="dxa" w:w="2450"/>
            <w:tcMar>
              <w:top w:type="dxa" w:w="80"/>
              <w:left w:type="dxa" w:w="100"/>
              <w:bottom w:type="dxa" w:w="80"/>
              <w:right w:type="dxa" w:w="100"/>
            </w:tcMar>
            <w:vAlign w:val="center"/>
          </w:tcPr>
          <w:p>
            <w:r>
              <w:rPr>
                <w:b w:val="false"/>
                <w:bCs w:val="false"/>
                <w:color w:val="262626"/>
                <w:sz w:val="19"/>
                <w:szCs w:val="19"/>
              </w:rPr>
              <w:t xml:space="preserve">Evaluating candidate profiles quickly</w:t>
            </w:r>
          </w:p>
        </w:tc>
        <w:tc>
          <w:tcPr>
            <w:tcW w:type="dxa" w:w="2600"/>
            <w:tcMar>
              <w:top w:type="dxa" w:w="80"/>
              <w:left w:type="dxa" w:w="100"/>
              <w:bottom w:type="dxa" w:w="80"/>
              <w:right w:type="dxa" w:w="100"/>
            </w:tcMar>
            <w:vAlign w:val="center"/>
          </w:tcPr>
          <w:p>
            <w:r>
              <w:rPr>
                <w:b w:val="false"/>
                <w:bCs w:val="false"/>
                <w:color w:val="262626"/>
                <w:sz w:val="19"/>
                <w:szCs w:val="19"/>
              </w:rPr>
              <w:t xml:space="preserve">Employability score, projects, certifications, coding stats</w:t>
            </w:r>
          </w:p>
        </w:tc>
        <w:tc>
          <w:tcPr>
            <w:tcW w:type="dxa" w:w="2600"/>
            <w:tcMar>
              <w:top w:type="dxa" w:w="80"/>
              <w:left w:type="dxa" w:w="100"/>
              <w:bottom w:type="dxa" w:w="80"/>
              <w:right w:type="dxa" w:w="100"/>
            </w:tcMar>
            <w:vAlign w:val="center"/>
          </w:tcPr>
          <w:p>
            <w:r>
              <w:rPr>
                <w:b w:val="false"/>
                <w:bCs w:val="false"/>
                <w:color w:val="262626"/>
                <w:sz w:val="19"/>
                <w:szCs w:val="19"/>
              </w:rPr>
              <w:t xml:space="preserve">No consolidated, comparable profile across candidates</w:t>
            </w:r>
          </w:p>
        </w:tc>
      </w:tr>
    </w:tbl>
    <w:p>
      <w:pPr>
        <w:pStyle w:val="Heading2"/>
        <w:spacing w:after="140" w:before="280"/>
      </w:pPr>
      <w:r>
        <w:rPr>
          <w:b/>
          <w:bCs/>
          <w:color w:val="0F6E6E"/>
          <w:sz w:val="24"/>
          <w:szCs w:val="24"/>
        </w:rPr>
        <w:t xml:space="preserve">2.5  Business &amp; Data Pain Points (from domain research)</w:t>
      </w:r>
    </w:p>
    <w:p>
      <w:pPr>
        <w:pStyle w:val="ListParagraph"/>
        <w:numPr>
          <w:ilvl w:val="0"/>
          <w:numId w:val="2"/>
        </w:numPr>
        <w:spacing w:after="80" w:line="268"/>
      </w:pPr>
      <w:r>
        <w:rPr>
          <w:color w:val="262626"/>
          <w:sz w:val="21"/>
          <w:szCs w:val="21"/>
        </w:rPr>
        <w:t xml:space="preserve">Inability to predict which students are likely to fail placement readiness checks.</w:t>
      </w:r>
    </w:p>
    <w:p>
      <w:pPr>
        <w:pStyle w:val="ListParagraph"/>
        <w:numPr>
          <w:ilvl w:val="0"/>
          <w:numId w:val="2"/>
        </w:numPr>
        <w:spacing w:after="80" w:line="268"/>
      </w:pPr>
      <w:r>
        <w:rPr>
          <w:color w:val="262626"/>
          <w:sz w:val="21"/>
          <w:szCs w:val="21"/>
        </w:rPr>
        <w:t xml:space="preserve">Manual, spreadsheet-based reporting that produces no forward-looking insight.</w:t>
      </w:r>
    </w:p>
    <w:p>
      <w:pPr>
        <w:pStyle w:val="ListParagraph"/>
        <w:numPr>
          <w:ilvl w:val="0"/>
          <w:numId w:val="2"/>
        </w:numPr>
        <w:spacing w:after="80" w:line="268"/>
      </w:pPr>
      <w:r>
        <w:rPr>
          <w:color w:val="262626"/>
          <w:sz w:val="21"/>
          <w:szCs w:val="21"/>
        </w:rPr>
        <w:t xml:space="preserve">No systematic backlog/dropout early-warning mechanism.</w:t>
      </w:r>
    </w:p>
    <w:p>
      <w:pPr>
        <w:pStyle w:val="ListParagraph"/>
        <w:numPr>
          <w:ilvl w:val="0"/>
          <w:numId w:val="2"/>
        </w:numPr>
        <w:spacing w:after="80" w:line="268"/>
      </w:pPr>
      <w:r>
        <w:rPr>
          <w:color w:val="262626"/>
          <w:sz w:val="21"/>
          <w:szCs w:val="21"/>
        </w:rPr>
        <w:t xml:space="preserve">Skill and certification data is not tracked centrally, so gaps are discovered only at the point of interview.</w:t>
      </w:r>
    </w:p>
    <w:p>
      <w:pPr>
        <w:pStyle w:val="ListParagraph"/>
        <w:numPr>
          <w:ilvl w:val="0"/>
          <w:numId w:val="2"/>
        </w:numPr>
        <w:spacing w:after="80" w:line="268"/>
      </w:pPr>
      <w:r>
        <w:rPr>
          <w:color w:val="262626"/>
          <w:sz w:val="21"/>
          <w:szCs w:val="21"/>
        </w:rPr>
        <w:t xml:space="preserve">Low visibility for parents and recruiters into a verified, consolidated student profile.</w:t>
      </w:r>
    </w:p>
    <w:p>
      <w:pPr>
        <w:pStyle w:val="Heading2"/>
        <w:spacing w:after="140" w:before="280"/>
      </w:pPr>
      <w:r>
        <w:rPr>
          <w:b/>
          <w:bCs/>
          <w:color w:val="0F6E6E"/>
          <w:sz w:val="24"/>
          <w:szCs w:val="24"/>
        </w:rPr>
        <w:t xml:space="preserve">2.6  Project Scope &amp; Constraints (capstone context)</w:t>
      </w:r>
    </w:p>
    <w:p>
      <w:pPr>
        <w:pStyle w:val="Heading3"/>
        <w:spacing w:after="100" w:before="200"/>
      </w:pPr>
      <w:r>
        <w:rPr>
          <w:b/>
          <w:bCs/>
          <w:color w:val="C0562B"/>
          <w:sz w:val="22"/>
          <w:szCs w:val="22"/>
        </w:rPr>
        <w:t xml:space="preserve">Scope</w:t>
      </w:r>
    </w:p>
    <w:p>
      <w:pPr>
        <w:pStyle w:val="ListParagraph"/>
        <w:numPr>
          <w:ilvl w:val="0"/>
          <w:numId w:val="2"/>
        </w:numPr>
        <w:spacing w:after="80" w:line="268"/>
      </w:pPr>
      <w:r>
        <w:rPr>
          <w:color w:val="262626"/>
          <w:sz w:val="21"/>
          <w:szCs w:val="21"/>
        </w:rPr>
        <w:t xml:space="preserve">Analysis type: Descriptive (profile aggregation) + Predictive (employability score, risk flags).</w:t>
      </w:r>
    </w:p>
    <w:p>
      <w:pPr>
        <w:pStyle w:val="ListParagraph"/>
        <w:numPr>
          <w:ilvl w:val="0"/>
          <w:numId w:val="2"/>
        </w:numPr>
        <w:spacing w:after="80" w:line="268"/>
      </w:pPr>
      <w:r>
        <w:rPr>
          <w:color w:val="262626"/>
          <w:sz w:val="21"/>
          <w:szCs w:val="21"/>
        </w:rPr>
        <w:t xml:space="preserve">Dataset: Institutional academic, attendance, activity and placement records; supplemented with public datasets where institutional data is unavailable for prototyping (e.g., Kaggle student-performance datasets).</w:t>
      </w:r>
    </w:p>
    <w:p>
      <w:pPr>
        <w:pStyle w:val="ListParagraph"/>
        <w:numPr>
          <w:ilvl w:val="0"/>
          <w:numId w:val="2"/>
        </w:numPr>
        <w:spacing w:after="80" w:line="268"/>
      </w:pPr>
      <w:r>
        <w:rPr>
          <w:color w:val="262626"/>
          <w:sz w:val="21"/>
          <w:szCs w:val="21"/>
        </w:rPr>
        <w:t xml:space="preserve">Models to explore: Logistic Regression, Decision Trees, Random Forest, XGBoost, KNN, K-Means (for cohort clustering).</w:t>
      </w:r>
    </w:p>
    <w:p>
      <w:pPr>
        <w:pStyle w:val="ListParagraph"/>
        <w:numPr>
          <w:ilvl w:val="0"/>
          <w:numId w:val="2"/>
        </w:numPr>
        <w:spacing w:after="80" w:line="268"/>
      </w:pPr>
      <w:r>
        <w:rPr>
          <w:color w:val="262626"/>
          <w:sz w:val="21"/>
          <w:szCs w:val="21"/>
        </w:rPr>
        <w:t xml:space="preserve">Output KPIs: Employability Score (0–100), Risk Flags (backlog / dropout / low-attendance / low-placement-probability).</w:t>
      </w:r>
    </w:p>
    <w:p>
      <w:pPr>
        <w:pStyle w:val="Heading3"/>
        <w:spacing w:after="100" w:before="200"/>
      </w:pPr>
      <w:r>
        <w:rPr>
          <w:b/>
          <w:bCs/>
          <w:color w:val="C0562B"/>
          <w:sz w:val="22"/>
          <w:szCs w:val="22"/>
        </w:rPr>
        <w:t xml:space="preserve">Constraints</w:t>
      </w:r>
    </w:p>
    <w:p>
      <w:pPr>
        <w:pStyle w:val="ListParagraph"/>
        <w:numPr>
          <w:ilvl w:val="0"/>
          <w:numId w:val="2"/>
        </w:numPr>
        <w:spacing w:after="80" w:line="268"/>
      </w:pPr>
      <w:r>
        <w:rPr>
          <w:color w:val="262626"/>
          <w:sz w:val="21"/>
          <w:szCs w:val="21"/>
        </w:rPr>
        <w:t xml:space="preserve">Timeline: 8–10 weeks (capstone duration).</w:t>
      </w:r>
    </w:p>
    <w:p>
      <w:pPr>
        <w:pStyle w:val="ListParagraph"/>
        <w:numPr>
          <w:ilvl w:val="0"/>
          <w:numId w:val="2"/>
        </w:numPr>
        <w:spacing w:after="80" w:line="268"/>
      </w:pPr>
      <w:r>
        <w:rPr>
          <w:color w:val="262626"/>
          <w:sz w:val="21"/>
          <w:szCs w:val="21"/>
        </w:rPr>
        <w:t xml:space="preserve">Data quality &amp; availability: dependent on institutional data-sharing approvals; may require synthetic/anonymised substitutes.</w:t>
      </w:r>
    </w:p>
    <w:p>
      <w:pPr>
        <w:pStyle w:val="ListParagraph"/>
        <w:numPr>
          <w:ilvl w:val="0"/>
          <w:numId w:val="2"/>
        </w:numPr>
        <w:spacing w:after="80" w:line="268"/>
      </w:pPr>
      <w:r>
        <w:rPr>
          <w:color w:val="262626"/>
          <w:sz w:val="21"/>
          <w:szCs w:val="21"/>
        </w:rPr>
        <w:t xml:space="preserve">Compute: student-grade laptop / free-tier cloud compute — no GPU-dependent deep learning in this iteration.</w:t>
      </w:r>
    </w:p>
    <w:p>
      <w:pPr>
        <w:pStyle w:val="ListParagraph"/>
        <w:numPr>
          <w:ilvl w:val="0"/>
          <w:numId w:val="2"/>
        </w:numPr>
        <w:spacing w:after="80" w:line="268"/>
      </w:pPr>
      <w:r>
        <w:rPr>
          <w:color w:val="262626"/>
          <w:sz w:val="21"/>
          <w:szCs w:val="21"/>
        </w:rPr>
        <w:t xml:space="preserve">Skill level: single-student build; scope is bounded to what one developer can deliver and defend at viva.</w:t>
      </w:r>
    </w:p>
    <w:p>
      <w:pPr>
        <w:pStyle w:val="Heading2"/>
        <w:spacing w:after="140" w:before="280"/>
      </w:pPr>
      <w:r>
        <w:rPr>
          <w:b/>
          <w:bCs/>
          <w:color w:val="0F6E6E"/>
          <w:sz w:val="24"/>
          <w:szCs w:val="24"/>
        </w:rPr>
        <w:t xml:space="preserve">2.7  Assumptions &amp; Dependencies</w:t>
      </w:r>
    </w:p>
    <w:p>
      <w:pPr>
        <w:pStyle w:val="ListParagraph"/>
        <w:numPr>
          <w:ilvl w:val="0"/>
          <w:numId w:val="2"/>
        </w:numPr>
        <w:spacing w:after="80" w:line="268"/>
      </w:pPr>
      <w:r>
        <w:rPr>
          <w:color w:val="262626"/>
          <w:sz w:val="21"/>
          <w:szCs w:val="21"/>
        </w:rPr>
        <w:t xml:space="preserve">Institutional stakeholders will provide (or approve access to) at least one semester of anonymised academic and attendance data.</w:t>
      </w:r>
    </w:p>
    <w:p>
      <w:pPr>
        <w:pStyle w:val="ListParagraph"/>
        <w:numPr>
          <w:ilvl w:val="0"/>
          <w:numId w:val="2"/>
        </w:numPr>
        <w:spacing w:after="80" w:line="268"/>
      </w:pPr>
      <w:r>
        <w:rPr>
          <w:color w:val="262626"/>
          <w:sz w:val="21"/>
          <w:szCs w:val="21"/>
        </w:rPr>
        <w:t xml:space="preserve">Students self-report skills, certifications, and coding-platform handles where no institutional source exists.</w:t>
      </w:r>
    </w:p>
    <w:p>
      <w:pPr>
        <w:pStyle w:val="ListParagraph"/>
        <w:numPr>
          <w:ilvl w:val="0"/>
          <w:numId w:val="2"/>
        </w:numPr>
        <w:spacing w:after="80" w:line="268"/>
      </w:pPr>
      <w:r>
        <w:rPr>
          <w:color w:val="262626"/>
          <w:sz w:val="21"/>
          <w:szCs w:val="21"/>
        </w:rPr>
        <w:t xml:space="preserve">PostgreSQL or MongoDB is available for hosting the three data stores; cloud hosting is optional and only used if local resources are insufficient.</w:t>
      </w:r>
    </w:p>
    <w:p>
      <w:pPr>
        <w:pStyle w:val="ListParagraph"/>
        <w:numPr>
          <w:ilvl w:val="0"/>
          <w:numId w:val="2"/>
        </w:numPr>
        <w:spacing w:after="80" w:line="268"/>
      </w:pPr>
      <w:r>
        <w:rPr>
          <w:color w:val="262626"/>
          <w:sz w:val="21"/>
          <w:szCs w:val="21"/>
        </w:rPr>
        <w:t xml:space="preserve">The employability-score weighting model (Section 6) is a starting configuration to be validated/tuned once real data is analysed in Phase 4 (EDA).</w:t>
      </w:r>
    </w:p>
    <w:p>
      <w:r>
        <w:br w:type="page"/>
      </w:r>
    </w:p>
    <w:p>
      <w:pPr>
        <w:pStyle w:val="Heading1"/>
        <w:pBdr>
          <w:bottom w:val="single" w:color="1F3864" w:sz="8" w:space="4"/>
        </w:pBdr>
        <w:spacing w:after="200" w:before="400"/>
      </w:pPr>
      <w:r>
        <w:rPr>
          <w:b/>
          <w:bCs/>
          <w:color w:val="1F3864"/>
          <w:sz w:val="30"/>
          <w:szCs w:val="30"/>
        </w:rPr>
        <w:t xml:space="preserve">3.  System Architecture Overview</w:t>
      </w:r>
    </w:p>
    <w:p>
      <w:pPr>
        <w:spacing w:after="160" w:line="276"/>
      </w:pPr>
      <w:r>
        <w:rPr>
          <w:color w:val="262626"/>
          <w:sz w:val="21"/>
          <w:szCs w:val="21"/>
        </w:rPr>
        <w:t xml:space="preserve">The platform is organized into five tiers. Role-based dashboards sit on top of an authenticated API layer, which fronts a set of core data services. Every service feeds a central AI/ML analytics engine, which is backed by the underlying academic, activity, and placement data stores.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Tier</w:t>
            </w:r>
          </w:p>
        </w:tc>
        <w:tc>
          <w:tcPr>
            <w:tcW w:type="dxa" w:w="6750"/>
            <w:shd w:fill="1F3864"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2600"/>
            <w:tcMar>
              <w:top w:type="dxa" w:w="80"/>
              <w:left w:type="dxa" w:w="100"/>
              <w:bottom w:type="dxa" w:w="80"/>
              <w:right w:type="dxa" w:w="100"/>
            </w:tcMar>
            <w:vAlign w:val="center"/>
          </w:tcPr>
          <w:p>
            <w:r>
              <w:rPr>
                <w:b w:val="false"/>
                <w:bCs w:val="false"/>
                <w:color w:val="262626"/>
                <w:sz w:val="19"/>
                <w:szCs w:val="19"/>
              </w:rPr>
              <w:t xml:space="preserve">Multi-role dashboards</w:t>
            </w:r>
          </w:p>
        </w:tc>
        <w:tc>
          <w:tcPr>
            <w:tcW w:type="dxa" w:w="6750"/>
            <w:tcMar>
              <w:top w:type="dxa" w:w="80"/>
              <w:left w:type="dxa" w:w="100"/>
              <w:bottom w:type="dxa" w:w="80"/>
              <w:right w:type="dxa" w:w="100"/>
            </w:tcMar>
            <w:vAlign w:val="center"/>
          </w:tcPr>
          <w:p>
            <w:r>
              <w:rPr>
                <w:b w:val="false"/>
                <w:bCs w:val="false"/>
                <w:color w:val="262626"/>
                <w:sz w:val="19"/>
                <w:szCs w:val="19"/>
              </w:rPr>
              <w:t xml:space="preserve">React-based views tailored to student, faculty, placement cell, parent, and recruiter needs.</w:t>
            </w:r>
          </w:p>
        </w:tc>
      </w:tr>
      <w:tr>
        <w:tc>
          <w:tcPr>
            <w:tcW w:type="dxa" w:w="2600"/>
            <w:shd w:fill="F2F2F2" w:val="clear"/>
            <w:tcMar>
              <w:top w:type="dxa" w:w="80"/>
              <w:left w:type="dxa" w:w="100"/>
              <w:bottom w:type="dxa" w:w="80"/>
              <w:right w:type="dxa" w:w="100"/>
            </w:tcMar>
            <w:vAlign w:val="center"/>
          </w:tcPr>
          <w:p>
            <w:r>
              <w:rPr>
                <w:b w:val="false"/>
                <w:bCs w:val="false"/>
                <w:color w:val="262626"/>
                <w:sz w:val="19"/>
                <w:szCs w:val="19"/>
              </w:rPr>
              <w:t xml:space="preserve">API &amp; auth layer</w:t>
            </w:r>
          </w:p>
        </w:tc>
        <w:tc>
          <w:tcPr>
            <w:tcW w:type="dxa" w:w="6750"/>
            <w:shd w:fill="F2F2F2" w:val="clear"/>
            <w:tcMar>
              <w:top w:type="dxa" w:w="80"/>
              <w:left w:type="dxa" w:w="100"/>
              <w:bottom w:type="dxa" w:w="80"/>
              <w:right w:type="dxa" w:w="100"/>
            </w:tcMar>
            <w:vAlign w:val="center"/>
          </w:tcPr>
          <w:p>
            <w:r>
              <w:rPr>
                <w:b w:val="false"/>
                <w:bCs w:val="false"/>
                <w:color w:val="262626"/>
                <w:sz w:val="19"/>
                <w:szCs w:val="19"/>
              </w:rPr>
              <w:t xml:space="preserve">REST API (Flask/FastAPI) with JWT-based role access control, gating what each user type can see or edit.</w:t>
            </w:r>
          </w:p>
        </w:tc>
      </w:tr>
      <w:tr>
        <w:tc>
          <w:tcPr>
            <w:tcW w:type="dxa" w:w="2600"/>
            <w:tcMar>
              <w:top w:type="dxa" w:w="80"/>
              <w:left w:type="dxa" w:w="100"/>
              <w:bottom w:type="dxa" w:w="80"/>
              <w:right w:type="dxa" w:w="100"/>
            </w:tcMar>
            <w:vAlign w:val="center"/>
          </w:tcPr>
          <w:p>
            <w:r>
              <w:rPr>
                <w:b w:val="false"/>
                <w:bCs w:val="false"/>
                <w:color w:val="262626"/>
                <w:sz w:val="19"/>
                <w:szCs w:val="19"/>
              </w:rPr>
              <w:t xml:space="preserve">Core data services</w:t>
            </w:r>
          </w:p>
        </w:tc>
        <w:tc>
          <w:tcPr>
            <w:tcW w:type="dxa" w:w="6750"/>
            <w:tcMar>
              <w:top w:type="dxa" w:w="80"/>
              <w:left w:type="dxa" w:w="100"/>
              <w:bottom w:type="dxa" w:w="80"/>
              <w:right w:type="dxa" w:w="100"/>
            </w:tcMar>
            <w:vAlign w:val="center"/>
          </w:tcPr>
          <w:p>
            <w:r>
              <w:rPr>
                <w:b w:val="false"/>
                <w:bCs w:val="false"/>
                <w:color w:val="262626"/>
                <w:sz w:val="19"/>
                <w:szCs w:val="19"/>
              </w:rPr>
              <w:t xml:space="preserve">Independent modules aggregating academics, skills, activities, placement, portfolio, and risk signals.</w:t>
            </w:r>
          </w:p>
        </w:tc>
      </w:tr>
      <w:tr>
        <w:tc>
          <w:tcPr>
            <w:tcW w:type="dxa" w:w="2600"/>
            <w:shd w:fill="F2F2F2" w:val="clear"/>
            <w:tcMar>
              <w:top w:type="dxa" w:w="80"/>
              <w:left w:type="dxa" w:w="100"/>
              <w:bottom w:type="dxa" w:w="80"/>
              <w:right w:type="dxa" w:w="100"/>
            </w:tcMar>
            <w:vAlign w:val="center"/>
          </w:tcPr>
          <w:p>
            <w:r>
              <w:rPr>
                <w:b w:val="false"/>
                <w:bCs w:val="false"/>
                <w:color w:val="262626"/>
                <w:sz w:val="19"/>
                <w:szCs w:val="19"/>
              </w:rPr>
              <w:t xml:space="preserve">AI &amp; ML analytics engine</w:t>
            </w:r>
          </w:p>
        </w:tc>
        <w:tc>
          <w:tcPr>
            <w:tcW w:type="dxa" w:w="6750"/>
            <w:shd w:fill="F2F2F2" w:val="clear"/>
            <w:tcMar>
              <w:top w:type="dxa" w:w="80"/>
              <w:left w:type="dxa" w:w="100"/>
              <w:bottom w:type="dxa" w:w="80"/>
              <w:right w:type="dxa" w:w="100"/>
            </w:tcMar>
            <w:vAlign w:val="center"/>
          </w:tcPr>
          <w:p>
            <w:r>
              <w:rPr>
                <w:b w:val="false"/>
                <w:bCs w:val="false"/>
                <w:color w:val="262626"/>
                <w:sz w:val="19"/>
                <w:szCs w:val="19"/>
              </w:rPr>
              <w:t xml:space="preserve">Computes employability score, risk predictions, and career recommendations from aggregated features.</w:t>
            </w:r>
          </w:p>
        </w:tc>
      </w:tr>
      <w:tr>
        <w:tc>
          <w:tcPr>
            <w:tcW w:type="dxa" w:w="2600"/>
            <w:tcMar>
              <w:top w:type="dxa" w:w="80"/>
              <w:left w:type="dxa" w:w="100"/>
              <w:bottom w:type="dxa" w:w="80"/>
              <w:right w:type="dxa" w:w="100"/>
            </w:tcMar>
            <w:vAlign w:val="center"/>
          </w:tcPr>
          <w:p>
            <w:r>
              <w:rPr>
                <w:b w:val="false"/>
                <w:bCs w:val="false"/>
                <w:color w:val="262626"/>
                <w:sz w:val="19"/>
                <w:szCs w:val="19"/>
              </w:rPr>
              <w:t xml:space="preserve">Data stores</w:t>
            </w:r>
          </w:p>
        </w:tc>
        <w:tc>
          <w:tcPr>
            <w:tcW w:type="dxa" w:w="6750"/>
            <w:tcMar>
              <w:top w:type="dxa" w:w="80"/>
              <w:left w:type="dxa" w:w="100"/>
              <w:bottom w:type="dxa" w:w="80"/>
              <w:right w:type="dxa" w:w="100"/>
            </w:tcMar>
            <w:vAlign w:val="center"/>
          </w:tcPr>
          <w:p>
            <w:r>
              <w:rPr>
                <w:b w:val="false"/>
                <w:bCs w:val="false"/>
                <w:color w:val="262626"/>
                <w:sz w:val="19"/>
                <w:szCs w:val="19"/>
              </w:rPr>
              <w:t xml:space="preserve">Academic DB, activity DB, and placement DB (PostgreSQL or MongoDB) holding raw and processed records.</w:t>
            </w:r>
          </w:p>
        </w:tc>
      </w:tr>
    </w:tbl>
    <w:p>
      <w:pPr>
        <w:spacing w:after="160" w:line="276"/>
      </w:pPr>
      <w:r>
        <w:rPr>
          <w:color w:val="262626"/>
          <w:sz w:val="21"/>
          <w:szCs w:val="21"/>
        </w:rPr>
        <w:t xml:space="preserve">The 20 dashboard modules are grouped into six core data services: Academic &amp; Attendance, Skills &amp; Certifications, Activities &amp; Leadership, Placement &amp; Career, Portfolio &amp; Timeline, and Risk &amp; Prediction. Data-aggregation modules continuously collect and normalize records; predictive/outcome modules compute scores, rankings, and risk signals from that aggregated data.</w:t>
      </w:r>
    </w:p>
    <w:p>
      <w:r>
        <w:br w:type="page"/>
      </w:r>
    </w:p>
    <w:p>
      <w:pPr>
        <w:pStyle w:val="Heading1"/>
        <w:pBdr>
          <w:bottom w:val="single" w:color="1F3864" w:sz="8" w:space="4"/>
        </w:pBdr>
        <w:spacing w:after="200" w:before="400"/>
      </w:pPr>
      <w:r>
        <w:rPr>
          <w:b/>
          <w:bCs/>
          <w:color w:val="1F3864"/>
          <w:sz w:val="30"/>
          <w:szCs w:val="30"/>
        </w:rPr>
        <w:t xml:space="preserve">4.  Functional Requirements</w:t>
      </w:r>
    </w:p>
    <w:p>
      <w:pPr>
        <w:spacing w:after="160" w:line="276"/>
      </w:pPr>
      <w:r>
        <w:rPr>
          <w:color w:val="262626"/>
          <w:sz w:val="21"/>
          <w:szCs w:val="21"/>
        </w:rPr>
        <w:t xml:space="preserve">Requirements are grouped by the six core data services, each identified with a unique ID (FR-&lt;Service&gt;-&lt;n&gt;) for traceability into design and test phases.</w:t>
      </w:r>
    </w:p>
    <w:p>
      <w:pPr>
        <w:pStyle w:val="Heading2"/>
        <w:spacing w:after="140" w:before="280"/>
      </w:pPr>
      <w:r>
        <w:rPr>
          <w:b/>
          <w:bCs/>
          <w:color w:val="0F6E6E"/>
          <w:sz w:val="24"/>
          <w:szCs w:val="24"/>
        </w:rPr>
        <w:t xml:space="preserve">4.1  Academic &amp; Attendance 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7650"/>
      </w:tblGrid>
      <w:tr>
        <w:trPr>
          <w:tblHeader/>
        </w:trPr>
        <w:tc>
          <w:tcPr>
            <w:tcW w:type="dxa" w:w="1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650"/>
            <w:shd w:fill="1F3864" w:val="clear"/>
            <w:tcMar>
              <w:top w:type="dxa" w:w="80"/>
              <w:left w:type="dxa" w:w="100"/>
              <w:bottom w:type="dxa" w:w="80"/>
              <w:right w:type="dxa" w:w="100"/>
            </w:tcMar>
            <w:vAlign w:val="center"/>
          </w:tcPr>
          <w:p>
            <w:r>
              <w:rPr>
                <w:b/>
                <w:bCs/>
                <w:color w:val="FFFFFF"/>
                <w:sz w:val="20"/>
                <w:szCs w:val="20"/>
              </w:rPr>
              <w:t xml:space="preserve">Requirement</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FR-AA-1</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record and display subject-wise internal and external marks for every registered student.</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FR-AA-2</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system shall compute SGPA and CGPA per semester and cumulatively.</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FR-AA-3</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track backlogs per subject and flag students exceeding an institution-configurable backlog threshold.</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FR-AA-4</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system shall compute attendance percentage per subject and flag attendance-shortage / detention risk.</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FR-AA-5</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allow faculty to upload/update marks and attendance via bulk CSV import.</w:t>
            </w:r>
          </w:p>
        </w:tc>
      </w:tr>
    </w:tbl>
    <w:p>
      <w:pPr>
        <w:pStyle w:val="Heading2"/>
        <w:spacing w:after="140" w:before="280"/>
      </w:pPr>
      <w:r>
        <w:rPr>
          <w:b/>
          <w:bCs/>
          <w:color w:val="0F6E6E"/>
          <w:sz w:val="24"/>
          <w:szCs w:val="24"/>
        </w:rPr>
        <w:t xml:space="preserve">4.2  Skills &amp; Certifications 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7650"/>
      </w:tblGrid>
      <w:tr>
        <w:trPr>
          <w:tblHeader/>
        </w:trPr>
        <w:tc>
          <w:tcPr>
            <w:tcW w:type="dxa" w:w="1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650"/>
            <w:shd w:fill="1F3864" w:val="clear"/>
            <w:tcMar>
              <w:top w:type="dxa" w:w="80"/>
              <w:left w:type="dxa" w:w="100"/>
              <w:bottom w:type="dxa" w:w="80"/>
              <w:right w:type="dxa" w:w="100"/>
            </w:tcMar>
            <w:vAlign w:val="center"/>
          </w:tcPr>
          <w:p>
            <w:r>
              <w:rPr>
                <w:b/>
                <w:bCs/>
                <w:color w:val="FFFFFF"/>
                <w:sz w:val="20"/>
                <w:szCs w:val="20"/>
              </w:rPr>
              <w:t xml:space="preserve">Requirement</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FR-SC-1</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allow students to self-rate technical skills and allow faculty to override/validate those ratings.</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FR-SC-2</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system shall track certifications (e.g., Coursera, NPTEL, AWS) with issuing body, date, and verification status.</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FR-SC-3</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ingest coding-platform statistics (LeetCode, HackerRank, GitHub) via public profile links or exported data.</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FR-SC-4</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system shall compute a normalized skill-strength score per student per skill category.</w:t>
            </w:r>
          </w:p>
        </w:tc>
      </w:tr>
    </w:tbl>
    <w:p>
      <w:pPr>
        <w:pStyle w:val="Heading2"/>
        <w:spacing w:after="140" w:before="280"/>
      </w:pPr>
      <w:r>
        <w:rPr>
          <w:b/>
          <w:bCs/>
          <w:color w:val="0F6E6E"/>
          <w:sz w:val="24"/>
          <w:szCs w:val="24"/>
        </w:rPr>
        <w:t xml:space="preserve">4.3  Activities &amp; Leadership 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7650"/>
      </w:tblGrid>
      <w:tr>
        <w:trPr>
          <w:tblHeader/>
        </w:trPr>
        <w:tc>
          <w:tcPr>
            <w:tcW w:type="dxa" w:w="1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650"/>
            <w:shd w:fill="1F3864" w:val="clear"/>
            <w:tcMar>
              <w:top w:type="dxa" w:w="80"/>
              <w:left w:type="dxa" w:w="100"/>
              <w:bottom w:type="dxa" w:w="80"/>
              <w:right w:type="dxa" w:w="100"/>
            </w:tcMar>
            <w:vAlign w:val="center"/>
          </w:tcPr>
          <w:p>
            <w:r>
              <w:rPr>
                <w:b/>
                <w:bCs/>
                <w:color w:val="FFFFFF"/>
                <w:sz w:val="20"/>
                <w:szCs w:val="20"/>
              </w:rPr>
              <w:t xml:space="preserve">Requirement</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FR-AL-1</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record sports and cultural achievements with event, level (college/state/national), and outcome.</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FR-AL-2</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system shall record club roles and event-participation history.</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FR-AL-3</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allow faculty to submit soft-skill evaluations (communication, leadership, teamwork) on a defined rating scale.</w:t>
            </w:r>
          </w:p>
        </w:tc>
      </w:tr>
    </w:tbl>
    <w:p>
      <w:pPr>
        <w:pStyle w:val="Heading2"/>
        <w:spacing w:after="140" w:before="280"/>
      </w:pPr>
      <w:r>
        <w:rPr>
          <w:b/>
          <w:bCs/>
          <w:color w:val="0F6E6E"/>
          <w:sz w:val="24"/>
          <w:szCs w:val="24"/>
        </w:rPr>
        <w:t xml:space="preserve">4.4  Placement &amp; Career 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7650"/>
      </w:tblGrid>
      <w:tr>
        <w:trPr>
          <w:tblHeader/>
        </w:trPr>
        <w:tc>
          <w:tcPr>
            <w:tcW w:type="dxa" w:w="1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650"/>
            <w:shd w:fill="1F3864" w:val="clear"/>
            <w:tcMar>
              <w:top w:type="dxa" w:w="80"/>
              <w:left w:type="dxa" w:w="100"/>
              <w:bottom w:type="dxa" w:w="80"/>
              <w:right w:type="dxa" w:w="100"/>
            </w:tcMar>
            <w:vAlign w:val="center"/>
          </w:tcPr>
          <w:p>
            <w:r>
              <w:rPr>
                <w:b/>
                <w:bCs/>
                <w:color w:val="FFFFFF"/>
                <w:sz w:val="20"/>
                <w:szCs w:val="20"/>
              </w:rPr>
              <w:t xml:space="preserve">Requirement</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FR-PC-1</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compute a resume / ATS score from an uploaded resume against role-specific keyword models.</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FR-PC-2</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system shall record mock- and real-interview outcomes, aptitude scores, and group-discussion evaluations.</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FR-PC-3</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record placement drive participation and final offer details (company, role, CTC, status).</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FR-PC-4</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placement cell dashboard shall allow ranking and shortlisting of students by employability score and drive-specific filters.</w:t>
            </w:r>
          </w:p>
        </w:tc>
      </w:tr>
    </w:tbl>
    <w:p>
      <w:pPr>
        <w:pStyle w:val="Heading2"/>
        <w:spacing w:after="140" w:before="280"/>
      </w:pPr>
      <w:r>
        <w:rPr>
          <w:b/>
          <w:bCs/>
          <w:color w:val="0F6E6E"/>
          <w:sz w:val="24"/>
          <w:szCs w:val="24"/>
        </w:rPr>
        <w:t xml:space="preserve">4.5  Portfolio &amp; Timeline 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7650"/>
      </w:tblGrid>
      <w:tr>
        <w:trPr>
          <w:tblHeader/>
        </w:trPr>
        <w:tc>
          <w:tcPr>
            <w:tcW w:type="dxa" w:w="1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650"/>
            <w:shd w:fill="1F3864" w:val="clear"/>
            <w:tcMar>
              <w:top w:type="dxa" w:w="80"/>
              <w:left w:type="dxa" w:w="100"/>
              <w:bottom w:type="dxa" w:w="80"/>
              <w:right w:type="dxa" w:w="100"/>
            </w:tcMar>
            <w:vAlign w:val="center"/>
          </w:tcPr>
          <w:p>
            <w:r>
              <w:rPr>
                <w:b/>
                <w:bCs/>
                <w:color w:val="FFFFFF"/>
                <w:sz w:val="20"/>
                <w:szCs w:val="20"/>
              </w:rPr>
              <w:t xml:space="preserve">Requirement</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FR-PT-1</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allow students to upload projects with description, tech stack, and links (repo/demo).</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FR-PT-2</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system shall support an AI-assisted complexity rating for submitted projects.</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FR-PT-3</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record research publications where applicable.</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FR-PT-4</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system shall render a year-1-to-final-year growth timeline per student combining all service data.</w:t>
            </w:r>
          </w:p>
        </w:tc>
      </w:tr>
    </w:tbl>
    <w:p>
      <w:pPr>
        <w:pStyle w:val="Heading2"/>
        <w:spacing w:after="140" w:before="280"/>
      </w:pPr>
      <w:r>
        <w:rPr>
          <w:b/>
          <w:bCs/>
          <w:color w:val="0F6E6E"/>
          <w:sz w:val="24"/>
          <w:szCs w:val="24"/>
        </w:rPr>
        <w:t xml:space="preserve">4.6  Risk &amp; Prediction 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7650"/>
      </w:tblGrid>
      <w:tr>
        <w:trPr>
          <w:tblHeader/>
        </w:trPr>
        <w:tc>
          <w:tcPr>
            <w:tcW w:type="dxa" w:w="1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650"/>
            <w:shd w:fill="1F3864" w:val="clear"/>
            <w:tcMar>
              <w:top w:type="dxa" w:w="80"/>
              <w:left w:type="dxa" w:w="100"/>
              <w:bottom w:type="dxa" w:w="80"/>
              <w:right w:type="dxa" w:w="100"/>
            </w:tcMar>
            <w:vAlign w:val="center"/>
          </w:tcPr>
          <w:p>
            <w:r>
              <w:rPr>
                <w:b/>
                <w:bCs/>
                <w:color w:val="FFFFFF"/>
                <w:sz w:val="20"/>
                <w:szCs w:val="20"/>
              </w:rPr>
              <w:t xml:space="preserve">Requirement</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FR-RP-1</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compute an Employability Score (0–100) per student using the weighting model in Section 6.</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FR-RP-2</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system shall predict backlog risk using a classification model trained on academic and attendance features.</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FR-RP-3</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predict dropout risk using a classification model trained on academic, attendance, and engagement features.</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FR-RP-4</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system shall predict placement-probability (low/medium/high) from the aggregated feature set.</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FR-RP-5</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recompute all scores and risk flags whenever underlying source data is updated.</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FR-RP-6</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system shall surface risk flags to faculty/mentor dashboards with sufficient lead time for intervention (i.e., before end-of-semester results).</w:t>
            </w:r>
          </w:p>
        </w:tc>
      </w:tr>
    </w:tbl>
    <w:p>
      <w:pPr>
        <w:pStyle w:val="Heading2"/>
        <w:spacing w:after="140" w:before="280"/>
      </w:pPr>
      <w:r>
        <w:rPr>
          <w:b/>
          <w:bCs/>
          <w:color w:val="0F6E6E"/>
          <w:sz w:val="24"/>
          <w:szCs w:val="24"/>
        </w:rPr>
        <w:t xml:space="preserve">4.7  Access, Roles &amp; Dashboards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7650"/>
      </w:tblGrid>
      <w:tr>
        <w:trPr>
          <w:tblHeader/>
        </w:trPr>
        <w:tc>
          <w:tcPr>
            <w:tcW w:type="dxa" w:w="1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650"/>
            <w:shd w:fill="1F3864" w:val="clear"/>
            <w:tcMar>
              <w:top w:type="dxa" w:w="80"/>
              <w:left w:type="dxa" w:w="100"/>
              <w:bottom w:type="dxa" w:w="80"/>
              <w:right w:type="dxa" w:w="100"/>
            </w:tcMar>
            <w:vAlign w:val="center"/>
          </w:tcPr>
          <w:p>
            <w:r>
              <w:rPr>
                <w:b/>
                <w:bCs/>
                <w:color w:val="FFFFFF"/>
                <w:sz w:val="20"/>
                <w:szCs w:val="20"/>
              </w:rPr>
              <w:t xml:space="preserve">Requirement</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FR-RB-1</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support five roles: Student, Faculty, Placement Cell, Parent, Recruiter, each with a distinct dashboard view.</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FR-RB-2</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system shall enforce role-based access control so each role sees/edits only permitted data (e.g., a parent may view but not edit records; a recruiter sees only consented, aggregated profile data).</w:t>
            </w:r>
          </w:p>
        </w:tc>
      </w:tr>
      <w:tr>
        <w:tc>
          <w:tcPr>
            <w:tcW w:type="dxa" w:w="1700"/>
            <w:tcMar>
              <w:top w:type="dxa" w:w="80"/>
              <w:left w:type="dxa" w:w="100"/>
              <w:bottom w:type="dxa" w:w="80"/>
              <w:right w:type="dxa" w:w="100"/>
            </w:tcMar>
            <w:vAlign w:val="center"/>
          </w:tcPr>
          <w:p>
            <w:r>
              <w:rPr>
                <w:b w:val="false"/>
                <w:bCs w:val="false"/>
                <w:color w:val="262626"/>
                <w:sz w:val="19"/>
                <w:szCs w:val="19"/>
              </w:rPr>
              <w:t xml:space="preserve">FR-RB-3</w:t>
            </w:r>
          </w:p>
        </w:tc>
        <w:tc>
          <w:tcPr>
            <w:tcW w:type="dxa" w:w="7650"/>
            <w:tcMar>
              <w:top w:type="dxa" w:w="80"/>
              <w:left w:type="dxa" w:w="100"/>
              <w:bottom w:type="dxa" w:w="80"/>
              <w:right w:type="dxa" w:w="100"/>
            </w:tcMar>
            <w:vAlign w:val="center"/>
          </w:tcPr>
          <w:p>
            <w:r>
              <w:rPr>
                <w:b w:val="false"/>
                <w:bCs w:val="false"/>
                <w:color w:val="262626"/>
                <w:sz w:val="19"/>
                <w:szCs w:val="19"/>
              </w:rPr>
              <w:t xml:space="preserve">The system shall authenticate all users via JWT-based sessions.</w:t>
            </w:r>
          </w:p>
        </w:tc>
      </w:tr>
      <w:tr>
        <w:tc>
          <w:tcPr>
            <w:tcW w:type="dxa" w:w="1700"/>
            <w:shd w:fill="F2F2F2" w:val="clear"/>
            <w:tcMar>
              <w:top w:type="dxa" w:w="80"/>
              <w:left w:type="dxa" w:w="100"/>
              <w:bottom w:type="dxa" w:w="80"/>
              <w:right w:type="dxa" w:w="100"/>
            </w:tcMar>
            <w:vAlign w:val="center"/>
          </w:tcPr>
          <w:p>
            <w:r>
              <w:rPr>
                <w:b w:val="false"/>
                <w:bCs w:val="false"/>
                <w:color w:val="262626"/>
                <w:sz w:val="19"/>
                <w:szCs w:val="19"/>
              </w:rPr>
              <w:t xml:space="preserve">FR-RB-4</w:t>
            </w:r>
          </w:p>
        </w:tc>
        <w:tc>
          <w:tcPr>
            <w:tcW w:type="dxa" w:w="7650"/>
            <w:shd w:fill="F2F2F2" w:val="clear"/>
            <w:tcMar>
              <w:top w:type="dxa" w:w="80"/>
              <w:left w:type="dxa" w:w="100"/>
              <w:bottom w:type="dxa" w:w="80"/>
              <w:right w:type="dxa" w:w="100"/>
            </w:tcMar>
            <w:vAlign w:val="center"/>
          </w:tcPr>
          <w:p>
            <w:r>
              <w:rPr>
                <w:b w:val="false"/>
                <w:bCs w:val="false"/>
                <w:color w:val="262626"/>
                <w:sz w:val="19"/>
                <w:szCs w:val="19"/>
              </w:rPr>
              <w:t xml:space="preserve">The system shall log all edit actions (who changed what, and when) for auditability.</w:t>
            </w:r>
          </w:p>
        </w:tc>
      </w:tr>
    </w:tbl>
    <w:p>
      <w:r>
        <w:br w:type="page"/>
      </w:r>
    </w:p>
    <w:p>
      <w:pPr>
        <w:pStyle w:val="Heading1"/>
        <w:pBdr>
          <w:bottom w:val="single" w:color="1F3864" w:sz="8" w:space="4"/>
        </w:pBdr>
        <w:spacing w:after="200" w:before="400"/>
      </w:pPr>
      <w:r>
        <w:rPr>
          <w:b/>
          <w:bCs/>
          <w:color w:val="1F3864"/>
          <w:sz w:val="30"/>
          <w:szCs w:val="30"/>
        </w:rPr>
        <w:t xml:space="preserve">5.  Data Requirements</w:t>
      </w:r>
    </w:p>
    <w:p>
      <w:pPr>
        <w:pStyle w:val="Heading2"/>
        <w:spacing w:after="140" w:before="280"/>
      </w:pPr>
      <w:r>
        <w:rPr>
          <w:b/>
          <w:bCs/>
          <w:color w:val="0F6E6E"/>
          <w:sz w:val="24"/>
          <w:szCs w:val="24"/>
        </w:rPr>
        <w:t xml:space="preserve">5.1  Required Data Domains &amp; Sources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3300"/>
        <w:gridCol w:w="2600"/>
        <w:gridCol w:w="1900"/>
      </w:tblGrid>
      <w:tr>
        <w:trPr>
          <w:tblHeader/>
        </w:trPr>
        <w:tc>
          <w:tcPr>
            <w:tcW w:type="dxa" w:w="1550"/>
            <w:shd w:fill="1F3864" w:val="clear"/>
            <w:tcMar>
              <w:top w:type="dxa" w:w="80"/>
              <w:left w:type="dxa" w:w="100"/>
              <w:bottom w:type="dxa" w:w="80"/>
              <w:right w:type="dxa" w:w="100"/>
            </w:tcMar>
            <w:vAlign w:val="center"/>
          </w:tcPr>
          <w:p>
            <w:r>
              <w:rPr>
                <w:b/>
                <w:bCs/>
                <w:color w:val="FFFFFF"/>
                <w:sz w:val="20"/>
                <w:szCs w:val="20"/>
              </w:rPr>
              <w:t xml:space="preserve">Data Domain</w:t>
            </w:r>
          </w:p>
        </w:tc>
        <w:tc>
          <w:tcPr>
            <w:tcW w:type="dxa" w:w="3300"/>
            <w:shd w:fill="1F3864" w:val="clear"/>
            <w:tcMar>
              <w:top w:type="dxa" w:w="80"/>
              <w:left w:type="dxa" w:w="100"/>
              <w:bottom w:type="dxa" w:w="80"/>
              <w:right w:type="dxa" w:w="100"/>
            </w:tcMar>
            <w:vAlign w:val="center"/>
          </w:tcPr>
          <w:p>
            <w:r>
              <w:rPr>
                <w:b/>
                <w:bCs/>
                <w:color w:val="FFFFFF"/>
                <w:sz w:val="20"/>
                <w:szCs w:val="20"/>
              </w:rPr>
              <w:t xml:space="preserve">Representative Fields</w:t>
            </w:r>
          </w:p>
        </w:tc>
        <w:tc>
          <w:tcPr>
            <w:tcW w:type="dxa" w:w="2600"/>
            <w:shd w:fill="1F3864" w:val="clear"/>
            <w:tcMar>
              <w:top w:type="dxa" w:w="80"/>
              <w:left w:type="dxa" w:w="100"/>
              <w:bottom w:type="dxa" w:w="80"/>
              <w:right w:type="dxa" w:w="100"/>
            </w:tcMar>
            <w:vAlign w:val="center"/>
          </w:tcPr>
          <w:p>
            <w:r>
              <w:rPr>
                <w:b/>
                <w:bCs/>
                <w:color w:val="FFFFFF"/>
                <w:sz w:val="20"/>
                <w:szCs w:val="20"/>
              </w:rPr>
              <w:t xml:space="preserve">Primary Source</w:t>
            </w:r>
          </w:p>
        </w:tc>
        <w:tc>
          <w:tcPr>
            <w:tcW w:type="dxa" w:w="1900"/>
            <w:shd w:fill="1F3864" w:val="clear"/>
            <w:tcMar>
              <w:top w:type="dxa" w:w="80"/>
              <w:left w:type="dxa" w:w="100"/>
              <w:bottom w:type="dxa" w:w="80"/>
              <w:right w:type="dxa" w:w="100"/>
            </w:tcMar>
            <w:vAlign w:val="center"/>
          </w:tcPr>
          <w:p>
            <w:r>
              <w:rPr>
                <w:b/>
                <w:bCs/>
                <w:color w:val="FFFFFF"/>
                <w:sz w:val="20"/>
                <w:szCs w:val="20"/>
              </w:rPr>
              <w:t xml:space="preserve">Update Frequency</w:t>
            </w:r>
          </w:p>
        </w:tc>
      </w:tr>
      <w:tr>
        <w:tc>
          <w:tcPr>
            <w:tcW w:type="dxa" w:w="1550"/>
            <w:tcMar>
              <w:top w:type="dxa" w:w="80"/>
              <w:left w:type="dxa" w:w="100"/>
              <w:bottom w:type="dxa" w:w="80"/>
              <w:right w:type="dxa" w:w="100"/>
            </w:tcMar>
            <w:vAlign w:val="center"/>
          </w:tcPr>
          <w:p>
            <w:r>
              <w:rPr>
                <w:b w:val="false"/>
                <w:bCs w:val="false"/>
                <w:color w:val="262626"/>
                <w:sz w:val="19"/>
                <w:szCs w:val="19"/>
              </w:rPr>
              <w:t xml:space="preserve">Academic</w:t>
            </w:r>
          </w:p>
        </w:tc>
        <w:tc>
          <w:tcPr>
            <w:tcW w:type="dxa" w:w="3300"/>
            <w:tcMar>
              <w:top w:type="dxa" w:w="80"/>
              <w:left w:type="dxa" w:w="100"/>
              <w:bottom w:type="dxa" w:w="80"/>
              <w:right w:type="dxa" w:w="100"/>
            </w:tcMar>
            <w:vAlign w:val="center"/>
          </w:tcPr>
          <w:p>
            <w:r>
              <w:rPr>
                <w:b w:val="false"/>
                <w:bCs w:val="false"/>
                <w:color w:val="262626"/>
                <w:sz w:val="19"/>
                <w:szCs w:val="19"/>
              </w:rPr>
              <w:t xml:space="preserve">Subject marks (internal/external), SGPA, CGPA, backlogs</w:t>
            </w:r>
          </w:p>
        </w:tc>
        <w:tc>
          <w:tcPr>
            <w:tcW w:type="dxa" w:w="2600"/>
            <w:tcMar>
              <w:top w:type="dxa" w:w="80"/>
              <w:left w:type="dxa" w:w="100"/>
              <w:bottom w:type="dxa" w:w="80"/>
              <w:right w:type="dxa" w:w="100"/>
            </w:tcMar>
            <w:vAlign w:val="center"/>
          </w:tcPr>
          <w:p>
            <w:r>
              <w:rPr>
                <w:b w:val="false"/>
                <w:bCs w:val="false"/>
                <w:color w:val="262626"/>
                <w:sz w:val="19"/>
                <w:szCs w:val="19"/>
              </w:rPr>
              <w:t xml:space="preserve">ERP / examination portal export</w:t>
            </w:r>
          </w:p>
        </w:tc>
        <w:tc>
          <w:tcPr>
            <w:tcW w:type="dxa" w:w="1900"/>
            <w:tcMar>
              <w:top w:type="dxa" w:w="80"/>
              <w:left w:type="dxa" w:w="100"/>
              <w:bottom w:type="dxa" w:w="80"/>
              <w:right w:type="dxa" w:w="100"/>
            </w:tcMar>
            <w:vAlign w:val="center"/>
          </w:tcPr>
          <w:p>
            <w:r>
              <w:rPr>
                <w:b w:val="false"/>
                <w:bCs w:val="false"/>
                <w:color w:val="262626"/>
                <w:sz w:val="19"/>
                <w:szCs w:val="19"/>
              </w:rPr>
              <w:t xml:space="preserve">Per semester / per exam cycle</w:t>
            </w:r>
          </w:p>
        </w:tc>
      </w:tr>
      <w:tr>
        <w:tc>
          <w:tcPr>
            <w:tcW w:type="dxa" w:w="1550"/>
            <w:shd w:fill="F2F2F2" w:val="clear"/>
            <w:tcMar>
              <w:top w:type="dxa" w:w="80"/>
              <w:left w:type="dxa" w:w="100"/>
              <w:bottom w:type="dxa" w:w="80"/>
              <w:right w:type="dxa" w:w="100"/>
            </w:tcMar>
            <w:vAlign w:val="center"/>
          </w:tcPr>
          <w:p>
            <w:r>
              <w:rPr>
                <w:b w:val="false"/>
                <w:bCs w:val="false"/>
                <w:color w:val="262626"/>
                <w:sz w:val="19"/>
                <w:szCs w:val="19"/>
              </w:rPr>
              <w:t xml:space="preserve">Attendance</w:t>
            </w:r>
          </w:p>
        </w:tc>
        <w:tc>
          <w:tcPr>
            <w:tcW w:type="dxa" w:w="3300"/>
            <w:shd w:fill="F2F2F2" w:val="clear"/>
            <w:tcMar>
              <w:top w:type="dxa" w:w="80"/>
              <w:left w:type="dxa" w:w="100"/>
              <w:bottom w:type="dxa" w:w="80"/>
              <w:right w:type="dxa" w:w="100"/>
            </w:tcMar>
            <w:vAlign w:val="center"/>
          </w:tcPr>
          <w:p>
            <w:r>
              <w:rPr>
                <w:b w:val="false"/>
                <w:bCs w:val="false"/>
                <w:color w:val="262626"/>
                <w:sz w:val="19"/>
                <w:szCs w:val="19"/>
              </w:rPr>
              <w:t xml:space="preserve">Subject-wise attendance %</w:t>
            </w:r>
          </w:p>
        </w:tc>
        <w:tc>
          <w:tcPr>
            <w:tcW w:type="dxa" w:w="2600"/>
            <w:shd w:fill="F2F2F2" w:val="clear"/>
            <w:tcMar>
              <w:top w:type="dxa" w:w="80"/>
              <w:left w:type="dxa" w:w="100"/>
              <w:bottom w:type="dxa" w:w="80"/>
              <w:right w:type="dxa" w:w="100"/>
            </w:tcMar>
            <w:vAlign w:val="center"/>
          </w:tcPr>
          <w:p>
            <w:r>
              <w:rPr>
                <w:b w:val="false"/>
                <w:bCs w:val="false"/>
                <w:color w:val="262626"/>
                <w:sz w:val="19"/>
                <w:szCs w:val="19"/>
              </w:rPr>
              <w:t xml:space="preserve">ERP / biometric attendance system</w:t>
            </w:r>
          </w:p>
        </w:tc>
        <w:tc>
          <w:tcPr>
            <w:tcW w:type="dxa" w:w="1900"/>
            <w:shd w:fill="F2F2F2" w:val="clear"/>
            <w:tcMar>
              <w:top w:type="dxa" w:w="80"/>
              <w:left w:type="dxa" w:w="100"/>
              <w:bottom w:type="dxa" w:w="80"/>
              <w:right w:type="dxa" w:w="100"/>
            </w:tcMar>
            <w:vAlign w:val="center"/>
          </w:tcPr>
          <w:p>
            <w:r>
              <w:rPr>
                <w:b w:val="false"/>
                <w:bCs w:val="false"/>
                <w:color w:val="262626"/>
                <w:sz w:val="19"/>
                <w:szCs w:val="19"/>
              </w:rPr>
              <w:t xml:space="preserve">Weekly or per class</w:t>
            </w:r>
          </w:p>
        </w:tc>
      </w:tr>
      <w:tr>
        <w:tc>
          <w:tcPr>
            <w:tcW w:type="dxa" w:w="1550"/>
            <w:tcMar>
              <w:top w:type="dxa" w:w="80"/>
              <w:left w:type="dxa" w:w="100"/>
              <w:bottom w:type="dxa" w:w="80"/>
              <w:right w:type="dxa" w:w="100"/>
            </w:tcMar>
            <w:vAlign w:val="center"/>
          </w:tcPr>
          <w:p>
            <w:r>
              <w:rPr>
                <w:b w:val="false"/>
                <w:bCs w:val="false"/>
                <w:color w:val="262626"/>
                <w:sz w:val="19"/>
                <w:szCs w:val="19"/>
              </w:rPr>
              <w:t xml:space="preserve">Skills</w:t>
            </w:r>
          </w:p>
        </w:tc>
        <w:tc>
          <w:tcPr>
            <w:tcW w:type="dxa" w:w="3300"/>
            <w:tcMar>
              <w:top w:type="dxa" w:w="80"/>
              <w:left w:type="dxa" w:w="100"/>
              <w:bottom w:type="dxa" w:w="80"/>
              <w:right w:type="dxa" w:w="100"/>
            </w:tcMar>
            <w:vAlign w:val="center"/>
          </w:tcPr>
          <w:p>
            <w:r>
              <w:rPr>
                <w:b w:val="false"/>
                <w:bCs w:val="false"/>
                <w:color w:val="262626"/>
                <w:sz w:val="19"/>
                <w:szCs w:val="19"/>
              </w:rPr>
              <w:t xml:space="preserve">Self/faculty skill ratings, coding-platform stats</w:t>
            </w:r>
          </w:p>
        </w:tc>
        <w:tc>
          <w:tcPr>
            <w:tcW w:type="dxa" w:w="2600"/>
            <w:tcMar>
              <w:top w:type="dxa" w:w="80"/>
              <w:left w:type="dxa" w:w="100"/>
              <w:bottom w:type="dxa" w:w="80"/>
              <w:right w:type="dxa" w:w="100"/>
            </w:tcMar>
            <w:vAlign w:val="center"/>
          </w:tcPr>
          <w:p>
            <w:r>
              <w:rPr>
                <w:b w:val="false"/>
                <w:bCs w:val="false"/>
                <w:color w:val="262626"/>
                <w:sz w:val="19"/>
                <w:szCs w:val="19"/>
              </w:rPr>
              <w:t xml:space="preserve">Student self-entry + LeetCode/HackerRank/GitHub API or export</w:t>
            </w:r>
          </w:p>
        </w:tc>
        <w:tc>
          <w:tcPr>
            <w:tcW w:type="dxa" w:w="1900"/>
            <w:tcMar>
              <w:top w:type="dxa" w:w="80"/>
              <w:left w:type="dxa" w:w="100"/>
              <w:bottom w:type="dxa" w:w="80"/>
              <w:right w:type="dxa" w:w="100"/>
            </w:tcMar>
            <w:vAlign w:val="center"/>
          </w:tcPr>
          <w:p>
            <w:r>
              <w:rPr>
                <w:b w:val="false"/>
                <w:bCs w:val="false"/>
                <w:color w:val="262626"/>
                <w:sz w:val="19"/>
                <w:szCs w:val="19"/>
              </w:rPr>
              <w:t xml:space="preserve">Monthly / on-demand</w:t>
            </w:r>
          </w:p>
        </w:tc>
      </w:tr>
      <w:tr>
        <w:tc>
          <w:tcPr>
            <w:tcW w:type="dxa" w:w="1550"/>
            <w:shd w:fill="F2F2F2" w:val="clear"/>
            <w:tcMar>
              <w:top w:type="dxa" w:w="80"/>
              <w:left w:type="dxa" w:w="100"/>
              <w:bottom w:type="dxa" w:w="80"/>
              <w:right w:type="dxa" w:w="100"/>
            </w:tcMar>
            <w:vAlign w:val="center"/>
          </w:tcPr>
          <w:p>
            <w:r>
              <w:rPr>
                <w:b w:val="false"/>
                <w:bCs w:val="false"/>
                <w:color w:val="262626"/>
                <w:sz w:val="19"/>
                <w:szCs w:val="19"/>
              </w:rPr>
              <w:t xml:space="preserve">Certifications</w:t>
            </w:r>
          </w:p>
        </w:tc>
        <w:tc>
          <w:tcPr>
            <w:tcW w:type="dxa" w:w="3300"/>
            <w:shd w:fill="F2F2F2" w:val="clear"/>
            <w:tcMar>
              <w:top w:type="dxa" w:w="80"/>
              <w:left w:type="dxa" w:w="100"/>
              <w:bottom w:type="dxa" w:w="80"/>
              <w:right w:type="dxa" w:w="100"/>
            </w:tcMar>
            <w:vAlign w:val="center"/>
          </w:tcPr>
          <w:p>
            <w:r>
              <w:rPr>
                <w:b w:val="false"/>
                <w:bCs w:val="false"/>
                <w:color w:val="262626"/>
                <w:sz w:val="19"/>
                <w:szCs w:val="19"/>
              </w:rPr>
              <w:t xml:space="preserve">Certificate name, issuer, date, verification</w:t>
            </w:r>
          </w:p>
        </w:tc>
        <w:tc>
          <w:tcPr>
            <w:tcW w:type="dxa" w:w="2600"/>
            <w:shd w:fill="F2F2F2" w:val="clear"/>
            <w:tcMar>
              <w:top w:type="dxa" w:w="80"/>
              <w:left w:type="dxa" w:w="100"/>
              <w:bottom w:type="dxa" w:w="80"/>
              <w:right w:type="dxa" w:w="100"/>
            </w:tcMar>
            <w:vAlign w:val="center"/>
          </w:tcPr>
          <w:p>
            <w:r>
              <w:rPr>
                <w:b w:val="false"/>
                <w:bCs w:val="false"/>
                <w:color w:val="262626"/>
                <w:sz w:val="19"/>
                <w:szCs w:val="19"/>
              </w:rPr>
              <w:t xml:space="preserve">Student upload + issuer verification link</w:t>
            </w:r>
          </w:p>
        </w:tc>
        <w:tc>
          <w:tcPr>
            <w:tcW w:type="dxa" w:w="1900"/>
            <w:shd w:fill="F2F2F2" w:val="clear"/>
            <w:tcMar>
              <w:top w:type="dxa" w:w="80"/>
              <w:left w:type="dxa" w:w="100"/>
              <w:bottom w:type="dxa" w:w="80"/>
              <w:right w:type="dxa" w:w="100"/>
            </w:tcMar>
            <w:vAlign w:val="center"/>
          </w:tcPr>
          <w:p>
            <w:r>
              <w:rPr>
                <w:b w:val="false"/>
                <w:bCs w:val="false"/>
                <w:color w:val="262626"/>
                <w:sz w:val="19"/>
                <w:szCs w:val="19"/>
              </w:rPr>
              <w:t xml:space="preserve">On-demand</w:t>
            </w:r>
          </w:p>
        </w:tc>
      </w:tr>
      <w:tr>
        <w:tc>
          <w:tcPr>
            <w:tcW w:type="dxa" w:w="1550"/>
            <w:tcMar>
              <w:top w:type="dxa" w:w="80"/>
              <w:left w:type="dxa" w:w="100"/>
              <w:bottom w:type="dxa" w:w="80"/>
              <w:right w:type="dxa" w:w="100"/>
            </w:tcMar>
            <w:vAlign w:val="center"/>
          </w:tcPr>
          <w:p>
            <w:r>
              <w:rPr>
                <w:b w:val="false"/>
                <w:bCs w:val="false"/>
                <w:color w:val="262626"/>
                <w:sz w:val="19"/>
                <w:szCs w:val="19"/>
              </w:rPr>
              <w:t xml:space="preserve">Activities</w:t>
            </w:r>
          </w:p>
        </w:tc>
        <w:tc>
          <w:tcPr>
            <w:tcW w:type="dxa" w:w="3300"/>
            <w:tcMar>
              <w:top w:type="dxa" w:w="80"/>
              <w:left w:type="dxa" w:w="100"/>
              <w:bottom w:type="dxa" w:w="80"/>
              <w:right w:type="dxa" w:w="100"/>
            </w:tcMar>
            <w:vAlign w:val="center"/>
          </w:tcPr>
          <w:p>
            <w:r>
              <w:rPr>
                <w:b w:val="false"/>
                <w:bCs w:val="false"/>
                <w:color w:val="262626"/>
                <w:sz w:val="19"/>
                <w:szCs w:val="19"/>
              </w:rPr>
              <w:t xml:space="preserve">Sports/cultural achievements, club roles, event participation</w:t>
            </w:r>
          </w:p>
        </w:tc>
        <w:tc>
          <w:tcPr>
            <w:tcW w:type="dxa" w:w="2600"/>
            <w:tcMar>
              <w:top w:type="dxa" w:w="80"/>
              <w:left w:type="dxa" w:w="100"/>
              <w:bottom w:type="dxa" w:w="80"/>
              <w:right w:type="dxa" w:w="100"/>
            </w:tcMar>
            <w:vAlign w:val="center"/>
          </w:tcPr>
          <w:p>
            <w:r>
              <w:rPr>
                <w:b w:val="false"/>
                <w:bCs w:val="false"/>
                <w:color w:val="262626"/>
                <w:sz w:val="19"/>
                <w:szCs w:val="19"/>
              </w:rPr>
              <w:t xml:space="preserve">Student/club-coordinator entry</w:t>
            </w:r>
          </w:p>
        </w:tc>
        <w:tc>
          <w:tcPr>
            <w:tcW w:type="dxa" w:w="1900"/>
            <w:tcMar>
              <w:top w:type="dxa" w:w="80"/>
              <w:left w:type="dxa" w:w="100"/>
              <w:bottom w:type="dxa" w:w="80"/>
              <w:right w:type="dxa" w:w="100"/>
            </w:tcMar>
            <w:vAlign w:val="center"/>
          </w:tcPr>
          <w:p>
            <w:r>
              <w:rPr>
                <w:b w:val="false"/>
                <w:bCs w:val="false"/>
                <w:color w:val="262626"/>
                <w:sz w:val="19"/>
                <w:szCs w:val="19"/>
              </w:rPr>
              <w:t xml:space="preserve">Per event / per semester</w:t>
            </w:r>
          </w:p>
        </w:tc>
      </w:tr>
      <w:tr>
        <w:tc>
          <w:tcPr>
            <w:tcW w:type="dxa" w:w="1550"/>
            <w:shd w:fill="F2F2F2" w:val="clear"/>
            <w:tcMar>
              <w:top w:type="dxa" w:w="80"/>
              <w:left w:type="dxa" w:w="100"/>
              <w:bottom w:type="dxa" w:w="80"/>
              <w:right w:type="dxa" w:w="100"/>
            </w:tcMar>
            <w:vAlign w:val="center"/>
          </w:tcPr>
          <w:p>
            <w:r>
              <w:rPr>
                <w:b w:val="false"/>
                <w:bCs w:val="false"/>
                <w:color w:val="262626"/>
                <w:sz w:val="19"/>
                <w:szCs w:val="19"/>
              </w:rPr>
              <w:t xml:space="preserve">Soft skills</w:t>
            </w:r>
          </w:p>
        </w:tc>
        <w:tc>
          <w:tcPr>
            <w:tcW w:type="dxa" w:w="3300"/>
            <w:shd w:fill="F2F2F2" w:val="clear"/>
            <w:tcMar>
              <w:top w:type="dxa" w:w="80"/>
              <w:left w:type="dxa" w:w="100"/>
              <w:bottom w:type="dxa" w:w="80"/>
              <w:right w:type="dxa" w:w="100"/>
            </w:tcMar>
            <w:vAlign w:val="center"/>
          </w:tcPr>
          <w:p>
            <w:r>
              <w:rPr>
                <w:b w:val="false"/>
                <w:bCs w:val="false"/>
                <w:color w:val="262626"/>
                <w:sz w:val="19"/>
                <w:szCs w:val="19"/>
              </w:rPr>
              <w:t xml:space="preserve">Communication, leadership, teamwork ratings</w:t>
            </w:r>
          </w:p>
        </w:tc>
        <w:tc>
          <w:tcPr>
            <w:tcW w:type="dxa" w:w="2600"/>
            <w:shd w:fill="F2F2F2" w:val="clear"/>
            <w:tcMar>
              <w:top w:type="dxa" w:w="80"/>
              <w:left w:type="dxa" w:w="100"/>
              <w:bottom w:type="dxa" w:w="80"/>
              <w:right w:type="dxa" w:w="100"/>
            </w:tcMar>
            <w:vAlign w:val="center"/>
          </w:tcPr>
          <w:p>
            <w:r>
              <w:rPr>
                <w:b w:val="false"/>
                <w:bCs w:val="false"/>
                <w:color w:val="262626"/>
                <w:sz w:val="19"/>
                <w:szCs w:val="19"/>
              </w:rPr>
              <w:t xml:space="preserve">Faculty evaluation form</w:t>
            </w:r>
          </w:p>
        </w:tc>
        <w:tc>
          <w:tcPr>
            <w:tcW w:type="dxa" w:w="1900"/>
            <w:shd w:fill="F2F2F2" w:val="clear"/>
            <w:tcMar>
              <w:top w:type="dxa" w:w="80"/>
              <w:left w:type="dxa" w:w="100"/>
              <w:bottom w:type="dxa" w:w="80"/>
              <w:right w:type="dxa" w:w="100"/>
            </w:tcMar>
            <w:vAlign w:val="center"/>
          </w:tcPr>
          <w:p>
            <w:r>
              <w:rPr>
                <w:b w:val="false"/>
                <w:bCs w:val="false"/>
                <w:color w:val="262626"/>
                <w:sz w:val="19"/>
                <w:szCs w:val="19"/>
              </w:rPr>
              <w:t xml:space="preserve">Per semester</w:t>
            </w:r>
          </w:p>
        </w:tc>
      </w:tr>
      <w:tr>
        <w:tc>
          <w:tcPr>
            <w:tcW w:type="dxa" w:w="1550"/>
            <w:tcMar>
              <w:top w:type="dxa" w:w="80"/>
              <w:left w:type="dxa" w:w="100"/>
              <w:bottom w:type="dxa" w:w="80"/>
              <w:right w:type="dxa" w:w="100"/>
            </w:tcMar>
            <w:vAlign w:val="center"/>
          </w:tcPr>
          <w:p>
            <w:r>
              <w:rPr>
                <w:b w:val="false"/>
                <w:bCs w:val="false"/>
                <w:color w:val="262626"/>
                <w:sz w:val="19"/>
                <w:szCs w:val="19"/>
              </w:rPr>
              <w:t xml:space="preserve">Placement</w:t>
            </w:r>
          </w:p>
        </w:tc>
        <w:tc>
          <w:tcPr>
            <w:tcW w:type="dxa" w:w="3300"/>
            <w:tcMar>
              <w:top w:type="dxa" w:w="80"/>
              <w:left w:type="dxa" w:w="100"/>
              <w:bottom w:type="dxa" w:w="80"/>
              <w:right w:type="dxa" w:w="100"/>
            </w:tcMar>
            <w:vAlign w:val="center"/>
          </w:tcPr>
          <w:p>
            <w:r>
              <w:rPr>
                <w:b w:val="false"/>
                <w:bCs w:val="false"/>
                <w:color w:val="262626"/>
                <w:sz w:val="19"/>
                <w:szCs w:val="19"/>
              </w:rPr>
              <w:t xml:space="preserve">Resume/ATS score, interview records, offers</w:t>
            </w:r>
          </w:p>
        </w:tc>
        <w:tc>
          <w:tcPr>
            <w:tcW w:type="dxa" w:w="2600"/>
            <w:tcMar>
              <w:top w:type="dxa" w:w="80"/>
              <w:left w:type="dxa" w:w="100"/>
              <w:bottom w:type="dxa" w:w="80"/>
              <w:right w:type="dxa" w:w="100"/>
            </w:tcMar>
            <w:vAlign w:val="center"/>
          </w:tcPr>
          <w:p>
            <w:r>
              <w:rPr>
                <w:b w:val="false"/>
                <w:bCs w:val="false"/>
                <w:color w:val="262626"/>
                <w:sz w:val="19"/>
                <w:szCs w:val="19"/>
              </w:rPr>
              <w:t xml:space="preserve">Placement cell records + resume upload</w:t>
            </w:r>
          </w:p>
        </w:tc>
        <w:tc>
          <w:tcPr>
            <w:tcW w:type="dxa" w:w="1900"/>
            <w:tcMar>
              <w:top w:type="dxa" w:w="80"/>
              <w:left w:type="dxa" w:w="100"/>
              <w:bottom w:type="dxa" w:w="80"/>
              <w:right w:type="dxa" w:w="100"/>
            </w:tcMar>
            <w:vAlign w:val="center"/>
          </w:tcPr>
          <w:p>
            <w:r>
              <w:rPr>
                <w:b w:val="false"/>
                <w:bCs w:val="false"/>
                <w:color w:val="262626"/>
                <w:sz w:val="19"/>
                <w:szCs w:val="19"/>
              </w:rPr>
              <w:t xml:space="preserve">Per drive</w:t>
            </w:r>
          </w:p>
        </w:tc>
      </w:tr>
      <w:tr>
        <w:tc>
          <w:tcPr>
            <w:tcW w:type="dxa" w:w="1550"/>
            <w:shd w:fill="F2F2F2" w:val="clear"/>
            <w:tcMar>
              <w:top w:type="dxa" w:w="80"/>
              <w:left w:type="dxa" w:w="100"/>
              <w:bottom w:type="dxa" w:w="80"/>
              <w:right w:type="dxa" w:w="100"/>
            </w:tcMar>
            <w:vAlign w:val="center"/>
          </w:tcPr>
          <w:p>
            <w:r>
              <w:rPr>
                <w:b w:val="false"/>
                <w:bCs w:val="false"/>
                <w:color w:val="262626"/>
                <w:sz w:val="19"/>
                <w:szCs w:val="19"/>
              </w:rPr>
              <w:t xml:space="preserve">Portfolio</w:t>
            </w:r>
          </w:p>
        </w:tc>
        <w:tc>
          <w:tcPr>
            <w:tcW w:type="dxa" w:w="3300"/>
            <w:shd w:fill="F2F2F2" w:val="clear"/>
            <w:tcMar>
              <w:top w:type="dxa" w:w="80"/>
              <w:left w:type="dxa" w:w="100"/>
              <w:bottom w:type="dxa" w:w="80"/>
              <w:right w:type="dxa" w:w="100"/>
            </w:tcMar>
            <w:vAlign w:val="center"/>
          </w:tcPr>
          <w:p>
            <w:r>
              <w:rPr>
                <w:b w:val="false"/>
                <w:bCs w:val="false"/>
                <w:color w:val="262626"/>
                <w:sz w:val="19"/>
                <w:szCs w:val="19"/>
              </w:rPr>
              <w:t xml:space="preserve">Projects, publications</w:t>
            </w:r>
          </w:p>
        </w:tc>
        <w:tc>
          <w:tcPr>
            <w:tcW w:type="dxa" w:w="2600"/>
            <w:shd w:fill="F2F2F2" w:val="clear"/>
            <w:tcMar>
              <w:top w:type="dxa" w:w="80"/>
              <w:left w:type="dxa" w:w="100"/>
              <w:bottom w:type="dxa" w:w="80"/>
              <w:right w:type="dxa" w:w="100"/>
            </w:tcMar>
            <w:vAlign w:val="center"/>
          </w:tcPr>
          <w:p>
            <w:r>
              <w:rPr>
                <w:b w:val="false"/>
                <w:bCs w:val="false"/>
                <w:color w:val="262626"/>
                <w:sz w:val="19"/>
                <w:szCs w:val="19"/>
              </w:rPr>
              <w:t xml:space="preserve">Student upload</w:t>
            </w:r>
          </w:p>
        </w:tc>
        <w:tc>
          <w:tcPr>
            <w:tcW w:type="dxa" w:w="1900"/>
            <w:shd w:fill="F2F2F2" w:val="clear"/>
            <w:tcMar>
              <w:top w:type="dxa" w:w="80"/>
              <w:left w:type="dxa" w:w="100"/>
              <w:bottom w:type="dxa" w:w="80"/>
              <w:right w:type="dxa" w:w="100"/>
            </w:tcMar>
            <w:vAlign w:val="center"/>
          </w:tcPr>
          <w:p>
            <w:r>
              <w:rPr>
                <w:b w:val="false"/>
                <w:bCs w:val="false"/>
                <w:color w:val="262626"/>
                <w:sz w:val="19"/>
                <w:szCs w:val="19"/>
              </w:rPr>
              <w:t xml:space="preserve">On-demand</w:t>
            </w:r>
          </w:p>
        </w:tc>
      </w:tr>
    </w:tbl>
    <w:p>
      <w:pPr>
        <w:pStyle w:val="Heading2"/>
        <w:spacing w:after="140" w:before="280"/>
      </w:pPr>
      <w:r>
        <w:rPr>
          <w:b/>
          <w:bCs/>
          <w:color w:val="0F6E6E"/>
          <w:sz w:val="24"/>
          <w:szCs w:val="24"/>
        </w:rPr>
        <w:t xml:space="preserve">5.2  Data Quality Requirements</w:t>
      </w:r>
    </w:p>
    <w:p>
      <w:pPr>
        <w:pStyle w:val="ListParagraph"/>
        <w:numPr>
          <w:ilvl w:val="0"/>
          <w:numId w:val="2"/>
        </w:numPr>
        <w:spacing w:after="80" w:line="268"/>
      </w:pPr>
      <w:r>
        <w:rPr>
          <w:color w:val="262626"/>
          <w:sz w:val="21"/>
          <w:szCs w:val="21"/>
        </w:rPr>
        <w:t xml:space="preserve">All ingested records shall carry a student-ID key that is unique and consistent across academic, activity, and placement stores to allow joins.</w:t>
      </w:r>
    </w:p>
    <w:p>
      <w:pPr>
        <w:pStyle w:val="ListParagraph"/>
        <w:numPr>
          <w:ilvl w:val="0"/>
          <w:numId w:val="2"/>
        </w:numPr>
        <w:spacing w:after="80" w:line="268"/>
      </w:pPr>
      <w:r>
        <w:rPr>
          <w:color w:val="262626"/>
          <w:sz w:val="21"/>
          <w:szCs w:val="21"/>
        </w:rPr>
        <w:t xml:space="preserve">Missing-value and duplicate-record handling rules shall be defined per data domain before EDA (Phase 4) begins, per the capstone lifecycle's Data Cleaning activity.</w:t>
      </w:r>
    </w:p>
    <w:p>
      <w:pPr>
        <w:pStyle w:val="ListParagraph"/>
        <w:numPr>
          <w:ilvl w:val="0"/>
          <w:numId w:val="2"/>
        </w:numPr>
        <w:spacing w:after="80" w:line="268"/>
      </w:pPr>
      <w:r>
        <w:rPr>
          <w:color w:val="262626"/>
          <w:sz w:val="21"/>
          <w:szCs w:val="21"/>
        </w:rPr>
        <w:t xml:space="preserve">Self-reported fields (skills, activities) shall be flagged as "self-reported" vs. "faculty-verified" so the analytics engine can weight confidence accordingly.</w:t>
      </w:r>
    </w:p>
    <w:p>
      <w:pPr>
        <w:pStyle w:val="ListParagraph"/>
        <w:numPr>
          <w:ilvl w:val="0"/>
          <w:numId w:val="2"/>
        </w:numPr>
        <w:spacing w:after="80" w:line="268"/>
      </w:pPr>
      <w:r>
        <w:rPr>
          <w:color w:val="262626"/>
          <w:sz w:val="21"/>
          <w:szCs w:val="21"/>
        </w:rPr>
        <w:t xml:space="preserve">Categorical fields (e.g., skill names, certification issuers) shall be normalized against a controlled vocabulary to avoid duplicate/near-duplicate categories.</w:t>
      </w:r>
    </w:p>
    <w:p>
      <w:pPr>
        <w:pStyle w:val="Heading2"/>
        <w:spacing w:after="140" w:before="280"/>
      </w:pPr>
      <w:r>
        <w:rPr>
          <w:b/>
          <w:bCs/>
          <w:color w:val="0F6E6E"/>
          <w:sz w:val="24"/>
          <w:szCs w:val="24"/>
        </w:rPr>
        <w:t xml:space="preserve">5.3  Data Storage</w:t>
      </w:r>
    </w:p>
    <w:p>
      <w:pPr>
        <w:spacing w:after="160" w:line="276"/>
      </w:pPr>
      <w:r>
        <w:rPr>
          <w:color w:val="262626"/>
          <w:sz w:val="21"/>
          <w:szCs w:val="21"/>
        </w:rPr>
        <w:t xml:space="preserve">Data will be separated logically into three stores — Academic DB, Activity DB, and Placement DB — implemented on PostgreSQL or MongoDB, holding both raw ingested records and processed/derived features (e.g., normalized skill scores, computed employability score, risk flags).</w:t>
      </w:r>
    </w:p>
    <w:p>
      <w:pPr>
        <w:pStyle w:val="Heading2"/>
        <w:spacing w:after="140" w:before="280"/>
      </w:pPr>
      <w:r>
        <w:rPr>
          <w:b/>
          <w:bCs/>
          <w:color w:val="0F6E6E"/>
          <w:sz w:val="24"/>
          <w:szCs w:val="24"/>
        </w:rPr>
        <w:t xml:space="preserve">5.4  Data Privacy &amp; Consent</w:t>
      </w:r>
    </w:p>
    <w:p>
      <w:pPr>
        <w:pStyle w:val="ListParagraph"/>
        <w:numPr>
          <w:ilvl w:val="0"/>
          <w:numId w:val="2"/>
        </w:numPr>
        <w:spacing w:after="80" w:line="268"/>
      </w:pPr>
      <w:r>
        <w:rPr>
          <w:color w:val="262626"/>
          <w:sz w:val="21"/>
          <w:szCs w:val="21"/>
        </w:rPr>
        <w:t xml:space="preserve">Recruiter-facing views shall expose only fields a student has explicitly marked visible to recruiters.</w:t>
      </w:r>
    </w:p>
    <w:p>
      <w:pPr>
        <w:pStyle w:val="ListParagraph"/>
        <w:numPr>
          <w:ilvl w:val="0"/>
          <w:numId w:val="2"/>
        </w:numPr>
        <w:spacing w:after="80" w:line="268"/>
      </w:pPr>
      <w:r>
        <w:rPr>
          <w:color w:val="262626"/>
          <w:sz w:val="21"/>
          <w:szCs w:val="21"/>
        </w:rPr>
        <w:t xml:space="preserve">Faculty evaluation and risk-flag data shall not be visible to the student's peers.</w:t>
      </w:r>
    </w:p>
    <w:p>
      <w:pPr>
        <w:pStyle w:val="ListParagraph"/>
        <w:numPr>
          <w:ilvl w:val="0"/>
          <w:numId w:val="2"/>
        </w:numPr>
        <w:spacing w:after="80" w:line="268"/>
      </w:pPr>
      <w:r>
        <w:rPr>
          <w:color w:val="262626"/>
          <w:sz w:val="21"/>
          <w:szCs w:val="21"/>
        </w:rPr>
        <w:t xml:space="preserve">Parent access shall be scoped to that parent's own ward only.</w:t>
      </w:r>
    </w:p>
    <w:p>
      <w:r>
        <w:br w:type="page"/>
      </w:r>
    </w:p>
    <w:p>
      <w:pPr>
        <w:pStyle w:val="Heading1"/>
        <w:pBdr>
          <w:bottom w:val="single" w:color="1F3864" w:sz="8" w:space="4"/>
        </w:pBdr>
        <w:spacing w:after="200" w:before="400"/>
      </w:pPr>
      <w:r>
        <w:rPr>
          <w:b/>
          <w:bCs/>
          <w:color w:val="1F3864"/>
          <w:sz w:val="30"/>
          <w:szCs w:val="30"/>
        </w:rPr>
        <w:t xml:space="preserve">6.  Employability Score &amp; Risk Prediction Pipeline</w:t>
      </w:r>
    </w:p>
    <w:p>
      <w:pPr>
        <w:spacing w:after="160" w:line="276"/>
      </w:pPr>
      <w:r>
        <w:rPr>
          <w:color w:val="262626"/>
          <w:sz w:val="21"/>
          <w:szCs w:val="21"/>
        </w:rPr>
        <w:t xml:space="preserve">The employability score is the platform's signature output — a single 0–100 number computed from weighted factors across every service, refreshed as new data arrives.</w:t>
      </w:r>
    </w:p>
    <w:p>
      <w:pPr>
        <w:pStyle w:val="Heading2"/>
        <w:spacing w:after="140" w:before="280"/>
      </w:pPr>
      <w:r>
        <w:rPr>
          <w:b/>
          <w:bCs/>
          <w:color w:val="0F6E6E"/>
          <w:sz w:val="24"/>
          <w:szCs w:val="24"/>
        </w:rPr>
        <w:t xml:space="preserve">6.1  Weighting Model (baseline)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675"/>
        <w:gridCol w:w="3675"/>
      </w:tblGrid>
      <w:tr>
        <w:trPr>
          <w:tblHeader/>
        </w:trPr>
        <w:tc>
          <w:tcPr>
            <w:tcW w:type="dxa" w:w="5675"/>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675"/>
            <w:shd w:fill="1F3864" w:val="clear"/>
            <w:tcMar>
              <w:top w:type="dxa" w:w="80"/>
              <w:left w:type="dxa" w:w="100"/>
              <w:bottom w:type="dxa" w:w="80"/>
              <w:right w:type="dxa" w:w="100"/>
            </w:tcMar>
            <w:vAlign w:val="center"/>
          </w:tcPr>
          <w:p>
            <w:r>
              <w:rPr>
                <w:b/>
                <w:bCs/>
                <w:color w:val="FFFFFF"/>
                <w:sz w:val="20"/>
                <w:szCs w:val="20"/>
              </w:rPr>
              <w:t xml:space="preserve">Weight</w:t>
            </w:r>
          </w:p>
        </w:tc>
      </w:tr>
      <w:tr>
        <w:tc>
          <w:tcPr>
            <w:tcW w:type="dxa" w:w="5675"/>
            <w:tcMar>
              <w:top w:type="dxa" w:w="80"/>
              <w:left w:type="dxa" w:w="100"/>
              <w:bottom w:type="dxa" w:w="80"/>
              <w:right w:type="dxa" w:w="100"/>
            </w:tcMar>
            <w:vAlign w:val="center"/>
          </w:tcPr>
          <w:p>
            <w:r>
              <w:rPr>
                <w:b w:val="false"/>
                <w:bCs w:val="false"/>
                <w:color w:val="262626"/>
                <w:sz w:val="19"/>
                <w:szCs w:val="19"/>
              </w:rPr>
              <w:t xml:space="preserve">CGPA</w:t>
            </w:r>
          </w:p>
        </w:tc>
        <w:tc>
          <w:tcPr>
            <w:tcW w:type="dxa" w:w="3675"/>
            <w:tcMar>
              <w:top w:type="dxa" w:w="80"/>
              <w:left w:type="dxa" w:w="100"/>
              <w:bottom w:type="dxa" w:w="80"/>
              <w:right w:type="dxa" w:w="100"/>
            </w:tcMar>
            <w:vAlign w:val="center"/>
          </w:tcPr>
          <w:p>
            <w:r>
              <w:rPr>
                <w:b w:val="false"/>
                <w:bCs w:val="false"/>
                <w:color w:val="262626"/>
                <w:sz w:val="19"/>
                <w:szCs w:val="19"/>
              </w:rPr>
              <w:t xml:space="preserve">20%</w:t>
            </w:r>
          </w:p>
        </w:tc>
      </w:tr>
      <w:tr>
        <w:tc>
          <w:tcPr>
            <w:tcW w:type="dxa" w:w="5675"/>
            <w:shd w:fill="F2F2F2" w:val="clear"/>
            <w:tcMar>
              <w:top w:type="dxa" w:w="80"/>
              <w:left w:type="dxa" w:w="100"/>
              <w:bottom w:type="dxa" w:w="80"/>
              <w:right w:type="dxa" w:w="100"/>
            </w:tcMar>
            <w:vAlign w:val="center"/>
          </w:tcPr>
          <w:p>
            <w:r>
              <w:rPr>
                <w:b w:val="false"/>
                <w:bCs w:val="false"/>
                <w:color w:val="262626"/>
                <w:sz w:val="19"/>
                <w:szCs w:val="19"/>
              </w:rPr>
              <w:t xml:space="preserve">Technical skills</w:t>
            </w:r>
          </w:p>
        </w:tc>
        <w:tc>
          <w:tcPr>
            <w:tcW w:type="dxa" w:w="3675"/>
            <w:shd w:fill="F2F2F2" w:val="clear"/>
            <w:tcMar>
              <w:top w:type="dxa" w:w="80"/>
              <w:left w:type="dxa" w:w="100"/>
              <w:bottom w:type="dxa" w:w="80"/>
              <w:right w:type="dxa" w:w="100"/>
            </w:tcMar>
            <w:vAlign w:val="center"/>
          </w:tcPr>
          <w:p>
            <w:r>
              <w:rPr>
                <w:b w:val="false"/>
                <w:bCs w:val="false"/>
                <w:color w:val="262626"/>
                <w:sz w:val="19"/>
                <w:szCs w:val="19"/>
              </w:rPr>
              <w:t xml:space="preserve">20%</w:t>
            </w:r>
          </w:p>
        </w:tc>
      </w:tr>
      <w:tr>
        <w:tc>
          <w:tcPr>
            <w:tcW w:type="dxa" w:w="5675"/>
            <w:tcMar>
              <w:top w:type="dxa" w:w="80"/>
              <w:left w:type="dxa" w:w="100"/>
              <w:bottom w:type="dxa" w:w="80"/>
              <w:right w:type="dxa" w:w="100"/>
            </w:tcMar>
            <w:vAlign w:val="center"/>
          </w:tcPr>
          <w:p>
            <w:r>
              <w:rPr>
                <w:b w:val="false"/>
                <w:bCs w:val="false"/>
                <w:color w:val="262626"/>
                <w:sz w:val="19"/>
                <w:szCs w:val="19"/>
              </w:rPr>
              <w:t xml:space="preserve">Coding</w:t>
            </w:r>
          </w:p>
        </w:tc>
        <w:tc>
          <w:tcPr>
            <w:tcW w:type="dxa" w:w="3675"/>
            <w:tcMar>
              <w:top w:type="dxa" w:w="80"/>
              <w:left w:type="dxa" w:w="100"/>
              <w:bottom w:type="dxa" w:w="80"/>
              <w:right w:type="dxa" w:w="100"/>
            </w:tcMar>
            <w:vAlign w:val="center"/>
          </w:tcPr>
          <w:p>
            <w:r>
              <w:rPr>
                <w:b w:val="false"/>
                <w:bCs w:val="false"/>
                <w:color w:val="262626"/>
                <w:sz w:val="19"/>
                <w:szCs w:val="19"/>
              </w:rPr>
              <w:t xml:space="preserve">15%</w:t>
            </w:r>
          </w:p>
        </w:tc>
      </w:tr>
      <w:tr>
        <w:tc>
          <w:tcPr>
            <w:tcW w:type="dxa" w:w="5675"/>
            <w:shd w:fill="F2F2F2" w:val="clear"/>
            <w:tcMar>
              <w:top w:type="dxa" w:w="80"/>
              <w:left w:type="dxa" w:w="100"/>
              <w:bottom w:type="dxa" w:w="80"/>
              <w:right w:type="dxa" w:w="100"/>
            </w:tcMar>
            <w:vAlign w:val="center"/>
          </w:tcPr>
          <w:p>
            <w:r>
              <w:rPr>
                <w:b w:val="false"/>
                <w:bCs w:val="false"/>
                <w:color w:val="262626"/>
                <w:sz w:val="19"/>
                <w:szCs w:val="19"/>
              </w:rPr>
              <w:t xml:space="preserve">Projects</w:t>
            </w:r>
          </w:p>
        </w:tc>
        <w:tc>
          <w:tcPr>
            <w:tcW w:type="dxa" w:w="3675"/>
            <w:shd w:fill="F2F2F2" w:val="clear"/>
            <w:tcMar>
              <w:top w:type="dxa" w:w="80"/>
              <w:left w:type="dxa" w:w="100"/>
              <w:bottom w:type="dxa" w:w="80"/>
              <w:right w:type="dxa" w:w="100"/>
            </w:tcMar>
            <w:vAlign w:val="center"/>
          </w:tcPr>
          <w:p>
            <w:r>
              <w:rPr>
                <w:b w:val="false"/>
                <w:bCs w:val="false"/>
                <w:color w:val="262626"/>
                <w:sz w:val="19"/>
                <w:szCs w:val="19"/>
              </w:rPr>
              <w:t xml:space="preserve">15%</w:t>
            </w:r>
          </w:p>
        </w:tc>
      </w:tr>
      <w:tr>
        <w:tc>
          <w:tcPr>
            <w:tcW w:type="dxa" w:w="5675"/>
            <w:tcMar>
              <w:top w:type="dxa" w:w="80"/>
              <w:left w:type="dxa" w:w="100"/>
              <w:bottom w:type="dxa" w:w="80"/>
              <w:right w:type="dxa" w:w="100"/>
            </w:tcMar>
            <w:vAlign w:val="center"/>
          </w:tcPr>
          <w:p>
            <w:r>
              <w:rPr>
                <w:b w:val="false"/>
                <w:bCs w:val="false"/>
                <w:color w:val="262626"/>
                <w:sz w:val="19"/>
                <w:szCs w:val="19"/>
              </w:rPr>
              <w:t xml:space="preserve">Certifications</w:t>
            </w:r>
          </w:p>
        </w:tc>
        <w:tc>
          <w:tcPr>
            <w:tcW w:type="dxa" w:w="3675"/>
            <w:tcMar>
              <w:top w:type="dxa" w:w="80"/>
              <w:left w:type="dxa" w:w="100"/>
              <w:bottom w:type="dxa" w:w="80"/>
              <w:right w:type="dxa" w:w="100"/>
            </w:tcMar>
            <w:vAlign w:val="center"/>
          </w:tcPr>
          <w:p>
            <w:r>
              <w:rPr>
                <w:b w:val="false"/>
                <w:bCs w:val="false"/>
                <w:color w:val="262626"/>
                <w:sz w:val="19"/>
                <w:szCs w:val="19"/>
              </w:rPr>
              <w:t xml:space="preserve">10%</w:t>
            </w:r>
          </w:p>
        </w:tc>
      </w:tr>
      <w:tr>
        <w:tc>
          <w:tcPr>
            <w:tcW w:type="dxa" w:w="5675"/>
            <w:shd w:fill="F2F2F2" w:val="clear"/>
            <w:tcMar>
              <w:top w:type="dxa" w:w="80"/>
              <w:left w:type="dxa" w:w="100"/>
              <w:bottom w:type="dxa" w:w="80"/>
              <w:right w:type="dxa" w:w="100"/>
            </w:tcMar>
            <w:vAlign w:val="center"/>
          </w:tcPr>
          <w:p>
            <w:r>
              <w:rPr>
                <w:b w:val="false"/>
                <w:bCs w:val="false"/>
                <w:color w:val="262626"/>
                <w:sz w:val="19"/>
                <w:szCs w:val="19"/>
              </w:rPr>
              <w:t xml:space="preserve">Communication</w:t>
            </w:r>
          </w:p>
        </w:tc>
        <w:tc>
          <w:tcPr>
            <w:tcW w:type="dxa" w:w="3675"/>
            <w:shd w:fill="F2F2F2" w:val="clear"/>
            <w:tcMar>
              <w:top w:type="dxa" w:w="80"/>
              <w:left w:type="dxa" w:w="100"/>
              <w:bottom w:type="dxa" w:w="80"/>
              <w:right w:type="dxa" w:w="100"/>
            </w:tcMar>
            <w:vAlign w:val="center"/>
          </w:tcPr>
          <w:p>
            <w:r>
              <w:rPr>
                <w:b w:val="false"/>
                <w:bCs w:val="false"/>
                <w:color w:val="262626"/>
                <w:sz w:val="19"/>
                <w:szCs w:val="19"/>
              </w:rPr>
              <w:t xml:space="preserve">10%</w:t>
            </w:r>
          </w:p>
        </w:tc>
      </w:tr>
      <w:tr>
        <w:tc>
          <w:tcPr>
            <w:tcW w:type="dxa" w:w="5675"/>
            <w:tcMar>
              <w:top w:type="dxa" w:w="80"/>
              <w:left w:type="dxa" w:w="100"/>
              <w:bottom w:type="dxa" w:w="80"/>
              <w:right w:type="dxa" w:w="100"/>
            </w:tcMar>
            <w:vAlign w:val="center"/>
          </w:tcPr>
          <w:p>
            <w:r>
              <w:rPr>
                <w:b w:val="false"/>
                <w:bCs w:val="false"/>
                <w:color w:val="262626"/>
                <w:sz w:val="19"/>
                <w:szCs w:val="19"/>
              </w:rPr>
              <w:t xml:space="preserve">Leadership</w:t>
            </w:r>
          </w:p>
        </w:tc>
        <w:tc>
          <w:tcPr>
            <w:tcW w:type="dxa" w:w="3675"/>
            <w:tcMar>
              <w:top w:type="dxa" w:w="80"/>
              <w:left w:type="dxa" w:w="100"/>
              <w:bottom w:type="dxa" w:w="80"/>
              <w:right w:type="dxa" w:w="100"/>
            </w:tcMar>
            <w:vAlign w:val="center"/>
          </w:tcPr>
          <w:p>
            <w:r>
              <w:rPr>
                <w:b w:val="false"/>
                <w:bCs w:val="false"/>
                <w:color w:val="262626"/>
                <w:sz w:val="19"/>
                <w:szCs w:val="19"/>
              </w:rPr>
              <w:t xml:space="preserve">5%</w:t>
            </w:r>
          </w:p>
        </w:tc>
      </w:tr>
      <w:tr>
        <w:tc>
          <w:tcPr>
            <w:tcW w:type="dxa" w:w="5675"/>
            <w:shd w:fill="F2F2F2" w:val="clear"/>
            <w:tcMar>
              <w:top w:type="dxa" w:w="80"/>
              <w:left w:type="dxa" w:w="100"/>
              <w:bottom w:type="dxa" w:w="80"/>
              <w:right w:type="dxa" w:w="100"/>
            </w:tcMar>
            <w:vAlign w:val="center"/>
          </w:tcPr>
          <w:p>
            <w:r>
              <w:rPr>
                <w:b w:val="false"/>
                <w:bCs w:val="false"/>
                <w:color w:val="262626"/>
                <w:sz w:val="19"/>
                <w:szCs w:val="19"/>
              </w:rPr>
              <w:t xml:space="preserve">Attendance</w:t>
            </w:r>
          </w:p>
        </w:tc>
        <w:tc>
          <w:tcPr>
            <w:tcW w:type="dxa" w:w="3675"/>
            <w:shd w:fill="F2F2F2" w:val="clear"/>
            <w:tcMar>
              <w:top w:type="dxa" w:w="80"/>
              <w:left w:type="dxa" w:w="100"/>
              <w:bottom w:type="dxa" w:w="80"/>
              <w:right w:type="dxa" w:w="100"/>
            </w:tcMar>
            <w:vAlign w:val="center"/>
          </w:tcPr>
          <w:p>
            <w:r>
              <w:rPr>
                <w:b w:val="false"/>
                <w:bCs w:val="false"/>
                <w:color w:val="262626"/>
                <w:sz w:val="19"/>
                <w:szCs w:val="19"/>
              </w:rPr>
              <w:t xml:space="preserve">5%</w:t>
            </w:r>
          </w:p>
        </w:tc>
      </w:tr>
    </w:tbl>
    <w:p>
      <w:pPr>
        <w:spacing w:after="160" w:line="276"/>
      </w:pPr>
      <w:r>
        <w:rPr>
          <w:color w:val="262626"/>
          <w:sz w:val="21"/>
          <w:szCs w:val="21"/>
        </w:rPr>
        <w:t xml:space="preserve">This weighting is a starting configuration; Section 7.5 requires it to be re-validated statistically once real cohort data is available (e.g., via correlation with historical placement outcomes).</w:t>
      </w:r>
    </w:p>
    <w:p>
      <w:pPr>
        <w:pStyle w:val="Heading2"/>
        <w:spacing w:after="140" w:before="280"/>
      </w:pPr>
      <w:r>
        <w:rPr>
          <w:b/>
          <w:bCs/>
          <w:color w:val="0F6E6E"/>
          <w:sz w:val="24"/>
          <w:szCs w:val="24"/>
        </w:rPr>
        <w:t xml:space="preserve">6.2  Risk Prediction</w:t>
      </w:r>
    </w:p>
    <w:p>
      <w:pPr>
        <w:spacing w:after="160" w:line="276"/>
      </w:pPr>
      <w:r>
        <w:rPr>
          <w:color w:val="262626"/>
          <w:sz w:val="21"/>
          <w:szCs w:val="21"/>
        </w:rPr>
        <w:t xml:space="preserve">Risk prediction runs in parallel on the same feature set, flagging backlog risk, dropout risk, low-attendance risk, and low placement probability so faculty and mentors can intervene early rather than after a decline shows up in results. Candidate models: Random Forest, XGBoost, and Logistic Regression (per the capstone lifecycle's Phase 5 model-shortlist).</w:t>
      </w:r>
    </w:p>
    <w:p>
      <w:r>
        <w:br w:type="page"/>
      </w:r>
    </w:p>
    <w:p>
      <w:pPr>
        <w:pStyle w:val="Heading1"/>
        <w:pBdr>
          <w:bottom w:val="single" w:color="1F3864" w:sz="8" w:space="4"/>
        </w:pBdr>
        <w:spacing w:after="200" w:before="400"/>
      </w:pPr>
      <w:r>
        <w:rPr>
          <w:b/>
          <w:bCs/>
          <w:color w:val="1F3864"/>
          <w:sz w:val="30"/>
          <w:szCs w:val="30"/>
        </w:rPr>
        <w:t xml:space="preserve">7.  Success Metrics</w:t>
      </w:r>
    </w:p>
    <w:p>
      <w:pPr>
        <w:spacing w:after="160" w:line="276"/>
      </w:pPr>
      <w:r>
        <w:rPr>
          <w:color w:val="262626"/>
          <w:sz w:val="21"/>
          <w:szCs w:val="21"/>
        </w:rPr>
        <w:t xml:space="preserve">Per the capstone lifecycle's Phase 2 requirement to define success criteria, the following metrics will be used to judge both model quality and business value:</w:t>
      </w:r>
    </w:p>
    <w:p>
      <w:pPr>
        <w:pStyle w:val="Heading2"/>
        <w:spacing w:after="140" w:before="280"/>
      </w:pPr>
      <w:r>
        <w:rPr>
          <w:b/>
          <w:bCs/>
          <w:color w:val="0F6E6E"/>
          <w:sz w:val="24"/>
          <w:szCs w:val="24"/>
        </w:rPr>
        <w:t xml:space="preserve">7.1  Model Performance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Model / Output</w:t>
            </w:r>
          </w:p>
        </w:tc>
        <w:tc>
          <w:tcPr>
            <w:tcW w:type="dxa" w:w="2900"/>
            <w:shd w:fill="1F3864" w:val="clear"/>
            <w:tcMar>
              <w:top w:type="dxa" w:w="80"/>
              <w:left w:type="dxa" w:w="100"/>
              <w:bottom w:type="dxa" w:w="80"/>
              <w:right w:type="dxa" w:w="100"/>
            </w:tcMar>
            <w:vAlign w:val="center"/>
          </w:tcPr>
          <w:p>
            <w:r>
              <w:rPr>
                <w:b/>
                <w:bCs/>
                <w:color w:val="FFFFFF"/>
                <w:sz w:val="20"/>
                <w:szCs w:val="20"/>
              </w:rPr>
              <w:t xml:space="preserve">Metric(s)</w:t>
            </w:r>
          </w:p>
        </w:tc>
        <w:tc>
          <w:tcPr>
            <w:tcW w:type="dxa" w:w="3850"/>
            <w:shd w:fill="1F3864" w:val="clear"/>
            <w:tcMar>
              <w:top w:type="dxa" w:w="80"/>
              <w:left w:type="dxa" w:w="100"/>
              <w:bottom w:type="dxa" w:w="80"/>
              <w:right w:type="dxa" w:w="100"/>
            </w:tcMar>
            <w:vAlign w:val="center"/>
          </w:tcPr>
          <w:p>
            <w:r>
              <w:rPr>
                <w:b/>
                <w:bCs/>
                <w:color w:val="FFFFFF"/>
                <w:sz w:val="20"/>
                <w:szCs w:val="20"/>
              </w:rPr>
              <w:t xml:space="preserve">Target (capstone baseline)</w:t>
            </w:r>
          </w:p>
        </w:tc>
      </w:tr>
      <w:tr>
        <w:tc>
          <w:tcPr>
            <w:tcW w:type="dxa" w:w="2600"/>
            <w:tcMar>
              <w:top w:type="dxa" w:w="80"/>
              <w:left w:type="dxa" w:w="100"/>
              <w:bottom w:type="dxa" w:w="80"/>
              <w:right w:type="dxa" w:w="100"/>
            </w:tcMar>
            <w:vAlign w:val="center"/>
          </w:tcPr>
          <w:p>
            <w:r>
              <w:rPr>
                <w:b w:val="false"/>
                <w:bCs w:val="false"/>
                <w:color w:val="262626"/>
                <w:sz w:val="19"/>
                <w:szCs w:val="19"/>
              </w:rPr>
              <w:t xml:space="preserve">Backlog / dropout risk classifiers</w:t>
            </w:r>
          </w:p>
        </w:tc>
        <w:tc>
          <w:tcPr>
            <w:tcW w:type="dxa" w:w="2900"/>
            <w:tcMar>
              <w:top w:type="dxa" w:w="80"/>
              <w:left w:type="dxa" w:w="100"/>
              <w:bottom w:type="dxa" w:w="80"/>
              <w:right w:type="dxa" w:w="100"/>
            </w:tcMar>
            <w:vAlign w:val="center"/>
          </w:tcPr>
          <w:p>
            <w:r>
              <w:rPr>
                <w:b w:val="false"/>
                <w:bCs w:val="false"/>
                <w:color w:val="262626"/>
                <w:sz w:val="19"/>
                <w:szCs w:val="19"/>
              </w:rPr>
              <w:t xml:space="preserve">Accuracy, Precision, Recall, F1-score</w:t>
            </w:r>
          </w:p>
        </w:tc>
        <w:tc>
          <w:tcPr>
            <w:tcW w:type="dxa" w:w="3850"/>
            <w:tcMar>
              <w:top w:type="dxa" w:w="80"/>
              <w:left w:type="dxa" w:w="100"/>
              <w:bottom w:type="dxa" w:w="80"/>
              <w:right w:type="dxa" w:w="100"/>
            </w:tcMar>
            <w:vAlign w:val="center"/>
          </w:tcPr>
          <w:p>
            <w:r>
              <w:rPr>
                <w:b w:val="false"/>
                <w:bCs w:val="false"/>
                <w:color w:val="262626"/>
                <w:sz w:val="19"/>
                <w:szCs w:val="19"/>
              </w:rPr>
              <w:t xml:space="preserve">≥ 80% accuracy; Recall prioritized over Precision (false negatives are costlier — a missed at-risk student)</w:t>
            </w:r>
          </w:p>
        </w:tc>
      </w:tr>
      <w:tr>
        <w:tc>
          <w:tcPr>
            <w:tcW w:type="dxa" w:w="2600"/>
            <w:shd w:fill="F2F2F2" w:val="clear"/>
            <w:tcMar>
              <w:top w:type="dxa" w:w="80"/>
              <w:left w:type="dxa" w:w="100"/>
              <w:bottom w:type="dxa" w:w="80"/>
              <w:right w:type="dxa" w:w="100"/>
            </w:tcMar>
            <w:vAlign w:val="center"/>
          </w:tcPr>
          <w:p>
            <w:r>
              <w:rPr>
                <w:b w:val="false"/>
                <w:bCs w:val="false"/>
                <w:color w:val="262626"/>
                <w:sz w:val="19"/>
                <w:szCs w:val="19"/>
              </w:rPr>
              <w:t xml:space="preserve">Employability score regression / ranking</w:t>
            </w:r>
          </w:p>
        </w:tc>
        <w:tc>
          <w:tcPr>
            <w:tcW w:type="dxa" w:w="2900"/>
            <w:shd w:fill="F2F2F2" w:val="clear"/>
            <w:tcMar>
              <w:top w:type="dxa" w:w="80"/>
              <w:left w:type="dxa" w:w="100"/>
              <w:bottom w:type="dxa" w:w="80"/>
              <w:right w:type="dxa" w:w="100"/>
            </w:tcMar>
            <w:vAlign w:val="center"/>
          </w:tcPr>
          <w:p>
            <w:r>
              <w:rPr>
                <w:b w:val="false"/>
                <w:bCs w:val="false"/>
                <w:color w:val="262626"/>
                <w:sz w:val="19"/>
                <w:szCs w:val="19"/>
              </w:rPr>
              <w:t xml:space="preserve">RMSE / MAE against a held-out placement-outcome proxy</w:t>
            </w:r>
          </w:p>
        </w:tc>
        <w:tc>
          <w:tcPr>
            <w:tcW w:type="dxa" w:w="3850"/>
            <w:shd w:fill="F2F2F2" w:val="clear"/>
            <w:tcMar>
              <w:top w:type="dxa" w:w="80"/>
              <w:left w:type="dxa" w:w="100"/>
              <w:bottom w:type="dxa" w:w="80"/>
              <w:right w:type="dxa" w:w="100"/>
            </w:tcMar>
            <w:vAlign w:val="center"/>
          </w:tcPr>
          <w:p>
            <w:r>
              <w:rPr>
                <w:b w:val="false"/>
                <w:bCs w:val="false"/>
                <w:color w:val="262626"/>
                <w:sz w:val="19"/>
                <w:szCs w:val="19"/>
              </w:rPr>
              <w:t xml:space="preserve">MAE within 10 points on a 0–100 scale</w:t>
            </w:r>
          </w:p>
        </w:tc>
      </w:tr>
      <w:tr>
        <w:tc>
          <w:tcPr>
            <w:tcW w:type="dxa" w:w="2600"/>
            <w:tcMar>
              <w:top w:type="dxa" w:w="80"/>
              <w:left w:type="dxa" w:w="100"/>
              <w:bottom w:type="dxa" w:w="80"/>
              <w:right w:type="dxa" w:w="100"/>
            </w:tcMar>
            <w:vAlign w:val="center"/>
          </w:tcPr>
          <w:p>
            <w:r>
              <w:rPr>
                <w:b w:val="false"/>
                <w:bCs w:val="false"/>
                <w:color w:val="262626"/>
                <w:sz w:val="19"/>
                <w:szCs w:val="19"/>
              </w:rPr>
              <w:t xml:space="preserve">Cohort clustering (K-Means)</w:t>
            </w:r>
          </w:p>
        </w:tc>
        <w:tc>
          <w:tcPr>
            <w:tcW w:type="dxa" w:w="2900"/>
            <w:tcMar>
              <w:top w:type="dxa" w:w="80"/>
              <w:left w:type="dxa" w:w="100"/>
              <w:bottom w:type="dxa" w:w="80"/>
              <w:right w:type="dxa" w:w="100"/>
            </w:tcMar>
            <w:vAlign w:val="center"/>
          </w:tcPr>
          <w:p>
            <w:r>
              <w:rPr>
                <w:b w:val="false"/>
                <w:bCs w:val="false"/>
                <w:color w:val="262626"/>
                <w:sz w:val="19"/>
                <w:szCs w:val="19"/>
              </w:rPr>
              <w:t xml:space="preserve">Silhouette score</w:t>
            </w:r>
          </w:p>
        </w:tc>
        <w:tc>
          <w:tcPr>
            <w:tcW w:type="dxa" w:w="3850"/>
            <w:tcMar>
              <w:top w:type="dxa" w:w="80"/>
              <w:left w:type="dxa" w:w="100"/>
              <w:bottom w:type="dxa" w:w="80"/>
              <w:right w:type="dxa" w:w="100"/>
            </w:tcMar>
            <w:vAlign w:val="center"/>
          </w:tcPr>
          <w:p>
            <w:r>
              <w:rPr>
                <w:b w:val="false"/>
                <w:bCs w:val="false"/>
                <w:color w:val="262626"/>
                <w:sz w:val="19"/>
                <w:szCs w:val="19"/>
              </w:rPr>
              <w:t xml:space="preserve">≥ 0.4 as an internal-validity sanity check</w:t>
            </w:r>
          </w:p>
        </w:tc>
      </w:tr>
    </w:tbl>
    <w:p>
      <w:pPr>
        <w:pStyle w:val="Heading2"/>
        <w:spacing w:after="140" w:before="280"/>
      </w:pPr>
      <w:r>
        <w:rPr>
          <w:b/>
          <w:bCs/>
          <w:color w:val="0F6E6E"/>
          <w:sz w:val="24"/>
          <w:szCs w:val="24"/>
        </w:rPr>
        <w:t xml:space="preserve">7.2  Business / Product KPIs</w:t>
      </w:r>
    </w:p>
    <w:p>
      <w:pPr>
        <w:pStyle w:val="ListParagraph"/>
        <w:numPr>
          <w:ilvl w:val="0"/>
          <w:numId w:val="2"/>
        </w:numPr>
        <w:spacing w:after="80" w:line="268"/>
      </w:pPr>
      <w:r>
        <w:rPr>
          <w:color w:val="262626"/>
          <w:sz w:val="21"/>
          <w:szCs w:val="21"/>
        </w:rPr>
        <w:t xml:space="preserve">Reduction in time for placement cell to shortlist candidates for a drive (target: from manual hours to under 5 minutes for a filtered ranked list).</w:t>
      </w:r>
    </w:p>
    <w:p>
      <w:pPr>
        <w:pStyle w:val="ListParagraph"/>
        <w:numPr>
          <w:ilvl w:val="0"/>
          <w:numId w:val="2"/>
        </w:numPr>
        <w:spacing w:after="80" w:line="268"/>
      </w:pPr>
      <w:r>
        <w:rPr>
          <w:color w:val="262626"/>
          <w:sz w:val="21"/>
          <w:szCs w:val="21"/>
        </w:rPr>
        <w:t xml:space="preserve">Percentage of at-risk students (backlog/dropout) correctly flagged at least one full grading cycle before the outcome would otherwise surface.</w:t>
      </w:r>
    </w:p>
    <w:p>
      <w:pPr>
        <w:pStyle w:val="ListParagraph"/>
        <w:numPr>
          <w:ilvl w:val="0"/>
          <w:numId w:val="2"/>
        </w:numPr>
        <w:spacing w:after="80" w:line="268"/>
      </w:pPr>
      <w:r>
        <w:rPr>
          <w:color w:val="262626"/>
          <w:sz w:val="21"/>
          <w:szCs w:val="21"/>
        </w:rPr>
        <w:t xml:space="preserve">Faculty adoption: percentage of eligible faculty actively using risk dashboards per semester.</w:t>
      </w:r>
    </w:p>
    <w:p>
      <w:pPr>
        <w:pStyle w:val="ListParagraph"/>
        <w:numPr>
          <w:ilvl w:val="0"/>
          <w:numId w:val="2"/>
        </w:numPr>
        <w:spacing w:after="80" w:line="268"/>
      </w:pPr>
      <w:r>
        <w:rPr>
          <w:color w:val="262626"/>
          <w:sz w:val="21"/>
          <w:szCs w:val="21"/>
        </w:rPr>
        <w:t xml:space="preserve">Student engagement: percentage of students with a complete profile (all six service categories populated).</w:t>
      </w:r>
    </w:p>
    <w:p>
      <w:pPr>
        <w:pStyle w:val="Heading2"/>
        <w:spacing w:after="140" w:before="280"/>
      </w:pPr>
      <w:r>
        <w:rPr>
          <w:b/>
          <w:bCs/>
          <w:color w:val="0F6E6E"/>
          <w:sz w:val="24"/>
          <w:szCs w:val="24"/>
        </w:rPr>
        <w:t xml:space="preserve">7.3  Definition of Done (capstone scope)</w:t>
      </w:r>
    </w:p>
    <w:p>
      <w:pPr>
        <w:pStyle w:val="ListParagraph"/>
        <w:numPr>
          <w:ilvl w:val="0"/>
          <w:numId w:val="3"/>
        </w:numPr>
        <w:spacing w:after="80" w:line="268"/>
      </w:pPr>
      <w:r>
        <w:rPr>
          <w:color w:val="262626"/>
          <w:sz w:val="21"/>
          <w:szCs w:val="21"/>
        </w:rPr>
        <w:t xml:space="preserve">Requirements in Sections 4–6 implemented against at least a representative sample/synthetic dataset.</w:t>
      </w:r>
    </w:p>
    <w:p>
      <w:pPr>
        <w:pStyle w:val="ListParagraph"/>
        <w:numPr>
          <w:ilvl w:val="0"/>
          <w:numId w:val="3"/>
        </w:numPr>
        <w:spacing w:after="80" w:line="268"/>
      </w:pPr>
      <w:r>
        <w:rPr>
          <w:color w:val="262626"/>
          <w:sz w:val="21"/>
          <w:szCs w:val="21"/>
        </w:rPr>
        <w:t xml:space="preserve">Employability score and at least one risk-prediction model trained, evaluated against Section 7.1 targets, and documented (Phases 6–7 of the lifecycle).</w:t>
      </w:r>
    </w:p>
    <w:p>
      <w:pPr>
        <w:pStyle w:val="ListParagraph"/>
        <w:numPr>
          <w:ilvl w:val="0"/>
          <w:numId w:val="3"/>
        </w:numPr>
        <w:spacing w:after="80" w:line="268"/>
      </w:pPr>
      <w:r>
        <w:rPr>
          <w:color w:val="262626"/>
          <w:sz w:val="21"/>
          <w:szCs w:val="21"/>
        </w:rPr>
        <w:t xml:space="preserve">A basic deployable API (Flask/FastAPI) exposing score and risk endpoints (Phase 8).</w:t>
      </w:r>
    </w:p>
    <w:p>
      <w:pPr>
        <w:pStyle w:val="ListParagraph"/>
        <w:numPr>
          <w:ilvl w:val="0"/>
          <w:numId w:val="3"/>
        </w:numPr>
        <w:spacing w:after="80" w:line="268"/>
      </w:pPr>
      <w:r>
        <w:rPr>
          <w:color w:val="262626"/>
          <w:sz w:val="21"/>
          <w:szCs w:val="21"/>
        </w:rPr>
        <w:t xml:space="preserve">Full documentation set and final report compiled (Phase 9), ready for demo and viva (Phase 10).</w:t>
      </w:r>
    </w:p>
    <w:p>
      <w:r>
        <w:br w:type="page"/>
      </w:r>
    </w:p>
    <w:p>
      <w:pPr>
        <w:pStyle w:val="Heading1"/>
        <w:pBdr>
          <w:bottom w:val="single" w:color="1F3864" w:sz="8" w:space="4"/>
        </w:pBdr>
        <w:spacing w:after="200" w:before="400"/>
      </w:pPr>
      <w:r>
        <w:rPr>
          <w:b/>
          <w:bCs/>
          <w:color w:val="1F3864"/>
          <w:sz w:val="30"/>
          <w:szCs w:val="30"/>
        </w:rPr>
        <w:t xml:space="preserve">8.  External Interface Requirements</w:t>
      </w:r>
    </w:p>
    <w:p>
      <w:pPr>
        <w:pStyle w:val="Heading2"/>
        <w:spacing w:after="140" w:before="280"/>
      </w:pPr>
      <w:r>
        <w:rPr>
          <w:b/>
          <w:bCs/>
          <w:color w:val="0F6E6E"/>
          <w:sz w:val="24"/>
          <w:szCs w:val="24"/>
        </w:rPr>
        <w:t xml:space="preserve">8.1  User Interfaces</w:t>
      </w:r>
    </w:p>
    <w:p>
      <w:pPr>
        <w:pStyle w:val="ListParagraph"/>
        <w:numPr>
          <w:ilvl w:val="0"/>
          <w:numId w:val="2"/>
        </w:numPr>
        <w:spacing w:after="80" w:line="268"/>
      </w:pPr>
      <w:r>
        <w:rPr>
          <w:color w:val="262626"/>
          <w:sz w:val="21"/>
          <w:szCs w:val="21"/>
        </w:rPr>
        <w:t xml:space="preserve">Five role-based dashboard views (Student, Faculty, Placement Cell, Parent, Recruiter) built in React.js with Tailwind CSS.</w:t>
      </w:r>
    </w:p>
    <w:p>
      <w:pPr>
        <w:pStyle w:val="ListParagraph"/>
        <w:numPr>
          <w:ilvl w:val="0"/>
          <w:numId w:val="2"/>
        </w:numPr>
        <w:spacing w:after="80" w:line="268"/>
      </w:pPr>
      <w:r>
        <w:rPr>
          <w:color w:val="262626"/>
          <w:sz w:val="21"/>
          <w:szCs w:val="21"/>
        </w:rPr>
        <w:t xml:space="preserve">Visualizations (radar charts, trend lines, ranking tables) rendered via Chart.js or Apache ECharts.</w:t>
      </w:r>
    </w:p>
    <w:p>
      <w:pPr>
        <w:pStyle w:val="Heading2"/>
        <w:spacing w:after="140" w:before="280"/>
      </w:pPr>
      <w:r>
        <w:rPr>
          <w:b/>
          <w:bCs/>
          <w:color w:val="0F6E6E"/>
          <w:sz w:val="24"/>
          <w:szCs w:val="24"/>
        </w:rPr>
        <w:t xml:space="preserve">8.2  API Interfaces</w:t>
      </w:r>
    </w:p>
    <w:p>
      <w:pPr>
        <w:pStyle w:val="ListParagraph"/>
        <w:numPr>
          <w:ilvl w:val="0"/>
          <w:numId w:val="2"/>
        </w:numPr>
        <w:spacing w:after="80" w:line="268"/>
      </w:pPr>
      <w:r>
        <w:rPr>
          <w:color w:val="262626"/>
          <w:sz w:val="21"/>
          <w:szCs w:val="21"/>
        </w:rPr>
        <w:t xml:space="preserve">A REST API (Flask or FastAPI) exposing endpoints for profile CRUD, score retrieval, risk-flag retrieval, and bulk data import.</w:t>
      </w:r>
    </w:p>
    <w:p>
      <w:pPr>
        <w:pStyle w:val="ListParagraph"/>
        <w:numPr>
          <w:ilvl w:val="0"/>
          <w:numId w:val="2"/>
        </w:numPr>
        <w:spacing w:after="80" w:line="268"/>
      </w:pPr>
      <w:r>
        <w:rPr>
          <w:color w:val="262626"/>
          <w:sz w:val="21"/>
          <w:szCs w:val="21"/>
        </w:rPr>
        <w:t xml:space="preserve">JWT bearer-token authentication on every endpoint; role claims embedded in the token drive RBAC checks.</w:t>
      </w:r>
    </w:p>
    <w:p>
      <w:pPr>
        <w:pStyle w:val="Heading2"/>
        <w:spacing w:after="140" w:before="280"/>
      </w:pPr>
      <w:r>
        <w:rPr>
          <w:b/>
          <w:bCs/>
          <w:color w:val="0F6E6E"/>
          <w:sz w:val="24"/>
          <w:szCs w:val="24"/>
        </w:rPr>
        <w:t xml:space="preserve">8.3  Hardware Interfaces</w:t>
      </w:r>
    </w:p>
    <w:p>
      <w:pPr>
        <w:spacing w:after="160" w:line="276"/>
      </w:pPr>
      <w:r>
        <w:rPr>
          <w:color w:val="262626"/>
          <w:sz w:val="21"/>
          <w:szCs w:val="21"/>
        </w:rPr>
        <w:t xml:space="preserve">None required beyond standard client devices (desktop/laptop/tablet browser) and server/cloud compute for hosting; no specialized sensor or device integration is in scope.</w:t>
      </w:r>
    </w:p>
    <w:p>
      <w:pPr>
        <w:pStyle w:val="Heading2"/>
        <w:spacing w:after="140" w:before="280"/>
      </w:pPr>
      <w:r>
        <w:rPr>
          <w:b/>
          <w:bCs/>
          <w:color w:val="0F6E6E"/>
          <w:sz w:val="24"/>
          <w:szCs w:val="24"/>
        </w:rPr>
        <w:t xml:space="preserve">8.4  Software Interfaces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7150"/>
            <w:shd w:fill="1F3864" w:val="clear"/>
            <w:tcMar>
              <w:top w:type="dxa" w:w="80"/>
              <w:left w:type="dxa" w:w="100"/>
              <w:bottom w:type="dxa" w:w="80"/>
              <w:right w:type="dxa" w:w="100"/>
            </w:tcMar>
            <w:vAlign w:val="center"/>
          </w:tcPr>
          <w:p>
            <w:r>
              <w:rPr>
                <w:b/>
                <w:bCs/>
                <w:color w:val="FFFFFF"/>
                <w:sz w:val="20"/>
                <w:szCs w:val="20"/>
              </w:rPr>
              <w:t xml:space="preserve">Technology</w:t>
            </w:r>
          </w:p>
        </w:tc>
      </w:tr>
      <w:tr>
        <w:tc>
          <w:tcPr>
            <w:tcW w:type="dxa" w:w="2200"/>
            <w:tcMar>
              <w:top w:type="dxa" w:w="80"/>
              <w:left w:type="dxa" w:w="100"/>
              <w:bottom w:type="dxa" w:w="80"/>
              <w:right w:type="dxa" w:w="100"/>
            </w:tcMar>
            <w:vAlign w:val="center"/>
          </w:tcPr>
          <w:p>
            <w:r>
              <w:rPr>
                <w:b w:val="false"/>
                <w:bCs w:val="false"/>
                <w:color w:val="262626"/>
                <w:sz w:val="19"/>
                <w:szCs w:val="19"/>
              </w:rPr>
              <w:t xml:space="preserve">Frontend</w:t>
            </w:r>
          </w:p>
        </w:tc>
        <w:tc>
          <w:tcPr>
            <w:tcW w:type="dxa" w:w="7150"/>
            <w:tcMar>
              <w:top w:type="dxa" w:w="80"/>
              <w:left w:type="dxa" w:w="100"/>
              <w:bottom w:type="dxa" w:w="80"/>
              <w:right w:type="dxa" w:w="100"/>
            </w:tcMar>
            <w:vAlign w:val="center"/>
          </w:tcPr>
          <w:p>
            <w:r>
              <w:rPr>
                <w:b w:val="false"/>
                <w:bCs w:val="false"/>
                <w:color w:val="262626"/>
                <w:sz w:val="19"/>
                <w:szCs w:val="19"/>
              </w:rPr>
              <w:t xml:space="preserve">React.js, Tailwind CSS, Chart.js / Apache ECharts for radar charts and trend graphs.</w:t>
            </w:r>
          </w:p>
        </w:tc>
      </w:tr>
      <w:tr>
        <w:tc>
          <w:tcPr>
            <w:tcW w:type="dxa" w:w="2200"/>
            <w:shd w:fill="F2F2F2" w:val="clear"/>
            <w:tcMar>
              <w:top w:type="dxa" w:w="80"/>
              <w:left w:type="dxa" w:w="100"/>
              <w:bottom w:type="dxa" w:w="80"/>
              <w:right w:type="dxa" w:w="100"/>
            </w:tcMar>
            <w:vAlign w:val="center"/>
          </w:tcPr>
          <w:p>
            <w:r>
              <w:rPr>
                <w:b w:val="false"/>
                <w:bCs w:val="false"/>
                <w:color w:val="262626"/>
                <w:sz w:val="19"/>
                <w:szCs w:val="19"/>
              </w:rPr>
              <w:t xml:space="preserve">Backend</w:t>
            </w:r>
          </w:p>
        </w:tc>
        <w:tc>
          <w:tcPr>
            <w:tcW w:type="dxa" w:w="7150"/>
            <w:shd w:fill="F2F2F2" w:val="clear"/>
            <w:tcMar>
              <w:top w:type="dxa" w:w="80"/>
              <w:left w:type="dxa" w:w="100"/>
              <w:bottom w:type="dxa" w:w="80"/>
              <w:right w:type="dxa" w:w="100"/>
            </w:tcMar>
            <w:vAlign w:val="center"/>
          </w:tcPr>
          <w:p>
            <w:r>
              <w:rPr>
                <w:b w:val="false"/>
                <w:bCs w:val="false"/>
                <w:color w:val="262626"/>
                <w:sz w:val="19"/>
                <w:szCs w:val="19"/>
              </w:rPr>
              <w:t xml:space="preserve">Python with Flask or FastAPI, exposing a REST API consumed by all five dashboard roles.</w:t>
            </w:r>
          </w:p>
        </w:tc>
      </w:tr>
      <w:tr>
        <w:tc>
          <w:tcPr>
            <w:tcW w:type="dxa" w:w="2200"/>
            <w:tcMar>
              <w:top w:type="dxa" w:w="80"/>
              <w:left w:type="dxa" w:w="100"/>
              <w:bottom w:type="dxa" w:w="80"/>
              <w:right w:type="dxa" w:w="100"/>
            </w:tcMar>
            <w:vAlign w:val="center"/>
          </w:tcPr>
          <w:p>
            <w:r>
              <w:rPr>
                <w:b w:val="false"/>
                <w:bCs w:val="false"/>
                <w:color w:val="262626"/>
                <w:sz w:val="19"/>
                <w:szCs w:val="19"/>
              </w:rPr>
              <w:t xml:space="preserve">Database</w:t>
            </w:r>
          </w:p>
        </w:tc>
        <w:tc>
          <w:tcPr>
            <w:tcW w:type="dxa" w:w="7150"/>
            <w:tcMar>
              <w:top w:type="dxa" w:w="80"/>
              <w:left w:type="dxa" w:w="100"/>
              <w:bottom w:type="dxa" w:w="80"/>
              <w:right w:type="dxa" w:w="100"/>
            </w:tcMar>
            <w:vAlign w:val="center"/>
          </w:tcPr>
          <w:p>
            <w:r>
              <w:rPr>
                <w:b w:val="false"/>
                <w:bCs w:val="false"/>
                <w:color w:val="262626"/>
                <w:sz w:val="19"/>
                <w:szCs w:val="19"/>
              </w:rPr>
              <w:t xml:space="preserve">PostgreSQL or MongoDB, separated logically into academic, activity, and placement stores.</w:t>
            </w:r>
          </w:p>
        </w:tc>
      </w:tr>
      <w:tr>
        <w:tc>
          <w:tcPr>
            <w:tcW w:type="dxa" w:w="2200"/>
            <w:shd w:fill="F2F2F2" w:val="clear"/>
            <w:tcMar>
              <w:top w:type="dxa" w:w="80"/>
              <w:left w:type="dxa" w:w="100"/>
              <w:bottom w:type="dxa" w:w="80"/>
              <w:right w:type="dxa" w:w="100"/>
            </w:tcMar>
            <w:vAlign w:val="center"/>
          </w:tcPr>
          <w:p>
            <w:r>
              <w:rPr>
                <w:b w:val="false"/>
                <w:bCs w:val="false"/>
                <w:color w:val="262626"/>
                <w:sz w:val="19"/>
                <w:szCs w:val="19"/>
              </w:rPr>
              <w:t xml:space="preserve">Machine learning</w:t>
            </w:r>
          </w:p>
        </w:tc>
        <w:tc>
          <w:tcPr>
            <w:tcW w:type="dxa" w:w="7150"/>
            <w:shd w:fill="F2F2F2" w:val="clear"/>
            <w:tcMar>
              <w:top w:type="dxa" w:w="80"/>
              <w:left w:type="dxa" w:w="100"/>
              <w:bottom w:type="dxa" w:w="80"/>
              <w:right w:type="dxa" w:w="100"/>
            </w:tcMar>
            <w:vAlign w:val="center"/>
          </w:tcPr>
          <w:p>
            <w:r>
              <w:rPr>
                <w:b w:val="false"/>
                <w:bCs w:val="false"/>
                <w:color w:val="262626"/>
                <w:sz w:val="19"/>
                <w:szCs w:val="19"/>
              </w:rPr>
              <w:t xml:space="preserve">Scikit-learn and XGBoost for scoring/risk models; Pandas and NumPy for feature engineering.</w:t>
            </w:r>
          </w:p>
        </w:tc>
      </w:tr>
      <w:tr>
        <w:tc>
          <w:tcPr>
            <w:tcW w:type="dxa" w:w="2200"/>
            <w:tcMar>
              <w:top w:type="dxa" w:w="80"/>
              <w:left w:type="dxa" w:w="100"/>
              <w:bottom w:type="dxa" w:w="80"/>
              <w:right w:type="dxa" w:w="100"/>
            </w:tcMar>
            <w:vAlign w:val="center"/>
          </w:tcPr>
          <w:p>
            <w:r>
              <w:rPr>
                <w:b w:val="false"/>
                <w:bCs w:val="false"/>
                <w:color w:val="262626"/>
                <w:sz w:val="19"/>
                <w:szCs w:val="19"/>
              </w:rPr>
              <w:t xml:space="preserve">Auth</w:t>
            </w:r>
          </w:p>
        </w:tc>
        <w:tc>
          <w:tcPr>
            <w:tcW w:type="dxa" w:w="7150"/>
            <w:tcMar>
              <w:top w:type="dxa" w:w="80"/>
              <w:left w:type="dxa" w:w="100"/>
              <w:bottom w:type="dxa" w:w="80"/>
              <w:right w:type="dxa" w:w="100"/>
            </w:tcMar>
            <w:vAlign w:val="center"/>
          </w:tcPr>
          <w:p>
            <w:r>
              <w:rPr>
                <w:b w:val="false"/>
                <w:bCs w:val="false"/>
                <w:color w:val="262626"/>
                <w:sz w:val="19"/>
                <w:szCs w:val="19"/>
              </w:rPr>
              <w:t xml:space="preserve">JWT with role-based access control distinguishing student, faculty, admin, and recruiter views.</w:t>
            </w:r>
          </w:p>
        </w:tc>
      </w:tr>
      <w:tr>
        <w:tc>
          <w:tcPr>
            <w:tcW w:type="dxa" w:w="2200"/>
            <w:shd w:fill="F2F2F2" w:val="clear"/>
            <w:tcMar>
              <w:top w:type="dxa" w:w="80"/>
              <w:left w:type="dxa" w:w="100"/>
              <w:bottom w:type="dxa" w:w="80"/>
              <w:right w:type="dxa" w:w="100"/>
            </w:tcMar>
            <w:vAlign w:val="center"/>
          </w:tcPr>
          <w:p>
            <w:r>
              <w:rPr>
                <w:b w:val="false"/>
                <w:bCs w:val="false"/>
                <w:color w:val="262626"/>
                <w:sz w:val="19"/>
                <w:szCs w:val="19"/>
              </w:rPr>
              <w:t xml:space="preserve">Cloud (optional)</w:t>
            </w:r>
          </w:p>
        </w:tc>
        <w:tc>
          <w:tcPr>
            <w:tcW w:type="dxa" w:w="7150"/>
            <w:shd w:fill="F2F2F2" w:val="clear"/>
            <w:tcMar>
              <w:top w:type="dxa" w:w="80"/>
              <w:left w:type="dxa" w:w="100"/>
              <w:bottom w:type="dxa" w:w="80"/>
              <w:right w:type="dxa" w:w="100"/>
            </w:tcMar>
            <w:vAlign w:val="center"/>
          </w:tcPr>
          <w:p>
            <w:r>
              <w:rPr>
                <w:b w:val="false"/>
                <w:bCs w:val="false"/>
                <w:color w:val="262626"/>
                <w:sz w:val="19"/>
                <w:szCs w:val="19"/>
              </w:rPr>
              <w:t xml:space="preserve">AWS, Azure, or Google Cloud for hosting and scaling as the student dataset grows year over year.</w:t>
            </w:r>
          </w:p>
        </w:tc>
      </w:tr>
    </w:tbl>
    <w:p>
      <w:r>
        <w:br w:type="page"/>
      </w:r>
    </w:p>
    <w:p>
      <w:pPr>
        <w:pStyle w:val="Heading1"/>
        <w:pBdr>
          <w:bottom w:val="single" w:color="1F3864" w:sz="8" w:space="4"/>
        </w:pBdr>
        <w:spacing w:after="200" w:before="400"/>
      </w:pPr>
      <w:r>
        <w:rPr>
          <w:b/>
          <w:bCs/>
          <w:color w:val="1F3864"/>
          <w:sz w:val="30"/>
          <w:szCs w:val="30"/>
        </w:rPr>
        <w:t xml:space="preserve">9.  Non-Functional Requirements</w:t>
      </w:r>
    </w:p>
    <w:p>
      <w:pPr>
        <w:pStyle w:val="Heading2"/>
        <w:spacing w:after="140" w:before="280"/>
      </w:pPr>
      <w:r>
        <w:rPr>
          <w:b/>
          <w:bCs/>
          <w:color w:val="0F6E6E"/>
          <w:sz w:val="24"/>
          <w:szCs w:val="24"/>
        </w:rPr>
        <w:t xml:space="preserve">9.1  Performance</w:t>
      </w:r>
    </w:p>
    <w:p>
      <w:pPr>
        <w:pStyle w:val="ListParagraph"/>
        <w:numPr>
          <w:ilvl w:val="0"/>
          <w:numId w:val="2"/>
        </w:numPr>
        <w:spacing w:after="80" w:line="268"/>
      </w:pPr>
      <w:r>
        <w:rPr>
          <w:color w:val="262626"/>
          <w:sz w:val="21"/>
          <w:szCs w:val="21"/>
        </w:rPr>
        <w:t xml:space="preserve">Dashboard pages shall load within 3 seconds for a single-student profile view under normal load.</w:t>
      </w:r>
    </w:p>
    <w:p>
      <w:pPr>
        <w:pStyle w:val="ListParagraph"/>
        <w:numPr>
          <w:ilvl w:val="0"/>
          <w:numId w:val="2"/>
        </w:numPr>
        <w:spacing w:after="80" w:line="268"/>
      </w:pPr>
      <w:r>
        <w:rPr>
          <w:color w:val="262626"/>
          <w:sz w:val="21"/>
          <w:szCs w:val="21"/>
        </w:rPr>
        <w:t xml:space="preserve">Score/risk recomputation for a single student shall complete within 5 seconds of a triggering data update.</w:t>
      </w:r>
    </w:p>
    <w:p>
      <w:pPr>
        <w:pStyle w:val="Heading2"/>
        <w:spacing w:after="140" w:before="280"/>
      </w:pPr>
      <w:r>
        <w:rPr>
          <w:b/>
          <w:bCs/>
          <w:color w:val="0F6E6E"/>
          <w:sz w:val="24"/>
          <w:szCs w:val="24"/>
        </w:rPr>
        <w:t xml:space="preserve">9.2  Scalability</w:t>
      </w:r>
    </w:p>
    <w:p>
      <w:pPr>
        <w:pStyle w:val="ListParagraph"/>
        <w:numPr>
          <w:ilvl w:val="0"/>
          <w:numId w:val="2"/>
        </w:numPr>
        <w:spacing w:after="80" w:line="268"/>
      </w:pPr>
      <w:r>
        <w:rPr>
          <w:color w:val="262626"/>
          <w:sz w:val="21"/>
          <w:szCs w:val="21"/>
        </w:rPr>
        <w:t xml:space="preserve">The data model shall support growth from a single cohort/pilot batch to the full institution (multi-year, multi-branch) without schema redesign.</w:t>
      </w:r>
    </w:p>
    <w:p>
      <w:pPr>
        <w:pStyle w:val="Heading2"/>
        <w:spacing w:after="140" w:before="280"/>
      </w:pPr>
      <w:r>
        <w:rPr>
          <w:b/>
          <w:bCs/>
          <w:color w:val="0F6E6E"/>
          <w:sz w:val="24"/>
          <w:szCs w:val="24"/>
        </w:rPr>
        <w:t xml:space="preserve">9.3  Security</w:t>
      </w:r>
    </w:p>
    <w:p>
      <w:pPr>
        <w:pStyle w:val="ListParagraph"/>
        <w:numPr>
          <w:ilvl w:val="0"/>
          <w:numId w:val="2"/>
        </w:numPr>
        <w:spacing w:after="80" w:line="268"/>
      </w:pPr>
      <w:r>
        <w:rPr>
          <w:color w:val="262626"/>
          <w:sz w:val="21"/>
          <w:szCs w:val="21"/>
        </w:rPr>
        <w:t xml:space="preserve">All traffic shall be served over HTTPS/TLS.</w:t>
      </w:r>
    </w:p>
    <w:p>
      <w:pPr>
        <w:pStyle w:val="ListParagraph"/>
        <w:numPr>
          <w:ilvl w:val="0"/>
          <w:numId w:val="2"/>
        </w:numPr>
        <w:spacing w:after="80" w:line="268"/>
      </w:pPr>
      <w:r>
        <w:rPr>
          <w:color w:val="262626"/>
          <w:sz w:val="21"/>
          <w:szCs w:val="21"/>
        </w:rPr>
        <w:t xml:space="preserve">Passwords/credentials shall never be stored in plaintext; JWT secrets shall be stored outside source control.</w:t>
      </w:r>
    </w:p>
    <w:p>
      <w:pPr>
        <w:pStyle w:val="ListParagraph"/>
        <w:numPr>
          <w:ilvl w:val="0"/>
          <w:numId w:val="2"/>
        </w:numPr>
        <w:spacing w:after="80" w:line="268"/>
      </w:pPr>
      <w:r>
        <w:rPr>
          <w:color w:val="262626"/>
          <w:sz w:val="21"/>
          <w:szCs w:val="21"/>
        </w:rPr>
        <w:t xml:space="preserve">RBAC shall be enforced at the API layer, not only in the UI, so a role cannot bypass restrictions via direct API calls.</w:t>
      </w:r>
    </w:p>
    <w:p>
      <w:pPr>
        <w:pStyle w:val="Heading2"/>
        <w:spacing w:after="140" w:before="280"/>
      </w:pPr>
      <w:r>
        <w:rPr>
          <w:b/>
          <w:bCs/>
          <w:color w:val="0F6E6E"/>
          <w:sz w:val="24"/>
          <w:szCs w:val="24"/>
        </w:rPr>
        <w:t xml:space="preserve">9.4  Reliability &amp; Availability</w:t>
      </w:r>
    </w:p>
    <w:p>
      <w:pPr>
        <w:pStyle w:val="ListParagraph"/>
        <w:numPr>
          <w:ilvl w:val="0"/>
          <w:numId w:val="2"/>
        </w:numPr>
        <w:spacing w:after="80" w:line="268"/>
      </w:pPr>
      <w:r>
        <w:rPr>
          <w:color w:val="262626"/>
          <w:sz w:val="21"/>
          <w:szCs w:val="21"/>
        </w:rPr>
        <w:t xml:space="preserve">Core dashboard and API services shall target 99% uptime during the academic semester (excluding planned maintenance windows).</w:t>
      </w:r>
    </w:p>
    <w:p>
      <w:pPr>
        <w:pStyle w:val="ListParagraph"/>
        <w:numPr>
          <w:ilvl w:val="0"/>
          <w:numId w:val="2"/>
        </w:numPr>
        <w:spacing w:after="80" w:line="268"/>
      </w:pPr>
      <w:r>
        <w:rPr>
          <w:color w:val="262626"/>
          <w:sz w:val="21"/>
          <w:szCs w:val="21"/>
        </w:rPr>
        <w:t xml:space="preserve">Data-ingestion failures (e.g., malformed CSV) shall be logged and surfaced to the uploading faculty/admin rather than silently dropped.</w:t>
      </w:r>
    </w:p>
    <w:p>
      <w:pPr>
        <w:pStyle w:val="Heading2"/>
        <w:spacing w:after="140" w:before="280"/>
      </w:pPr>
      <w:r>
        <w:rPr>
          <w:b/>
          <w:bCs/>
          <w:color w:val="0F6E6E"/>
          <w:sz w:val="24"/>
          <w:szCs w:val="24"/>
        </w:rPr>
        <w:t xml:space="preserve">9.5  Usability</w:t>
      </w:r>
    </w:p>
    <w:p>
      <w:pPr>
        <w:pStyle w:val="ListParagraph"/>
        <w:numPr>
          <w:ilvl w:val="0"/>
          <w:numId w:val="2"/>
        </w:numPr>
        <w:spacing w:after="80" w:line="268"/>
      </w:pPr>
      <w:r>
        <w:rPr>
          <w:color w:val="262626"/>
          <w:sz w:val="21"/>
          <w:szCs w:val="21"/>
        </w:rPr>
        <w:t xml:space="preserve">Each of the five role dashboards shall present only the metrics relevant to that role's stated decision responsibility (Section 2.4), avoiding information overload.</w:t>
      </w:r>
    </w:p>
    <w:p>
      <w:pPr>
        <w:pStyle w:val="Heading2"/>
        <w:spacing w:after="140" w:before="280"/>
      </w:pPr>
      <w:r>
        <w:rPr>
          <w:b/>
          <w:bCs/>
          <w:color w:val="0F6E6E"/>
          <w:sz w:val="24"/>
          <w:szCs w:val="24"/>
        </w:rPr>
        <w:t xml:space="preserve">9.6  Maintainability</w:t>
      </w:r>
    </w:p>
    <w:p>
      <w:pPr>
        <w:pStyle w:val="ListParagraph"/>
        <w:numPr>
          <w:ilvl w:val="0"/>
          <w:numId w:val="2"/>
        </w:numPr>
        <w:spacing w:after="80" w:line="268"/>
      </w:pPr>
      <w:r>
        <w:rPr>
          <w:color w:val="262626"/>
          <w:sz w:val="21"/>
          <w:szCs w:val="21"/>
        </w:rPr>
        <w:t xml:space="preserve">Core data services shall be modular (per Section 3) so a new data domain (e.g., internship records) can be added without modifying unrelated services.</w:t>
      </w:r>
    </w:p>
    <w:p>
      <w:pPr>
        <w:pStyle w:val="ListParagraph"/>
        <w:numPr>
          <w:ilvl w:val="0"/>
          <w:numId w:val="2"/>
        </w:numPr>
        <w:spacing w:after="80" w:line="268"/>
      </w:pPr>
      <w:r>
        <w:rPr>
          <w:color w:val="262626"/>
          <w:sz w:val="21"/>
          <w:szCs w:val="21"/>
        </w:rPr>
        <w:t xml:space="preserve">ML models shall be retrainable via a documented pipeline (feature extraction → train → evaluate → serialize) rather than hard-coded logic, using Pickle/Joblib for serialization (per Phase 8 of the lifecycle).</w:t>
      </w:r>
    </w:p>
    <w:p>
      <w:pPr>
        <w:pStyle w:val="Heading2"/>
        <w:spacing w:after="140" w:before="280"/>
      </w:pPr>
      <w:r>
        <w:rPr>
          <w:b/>
          <w:bCs/>
          <w:color w:val="0F6E6E"/>
          <w:sz w:val="24"/>
          <w:szCs w:val="24"/>
        </w:rPr>
        <w:t xml:space="preserve">9.7  Compliance / Ethics</w:t>
      </w:r>
    </w:p>
    <w:p>
      <w:pPr>
        <w:pStyle w:val="ListParagraph"/>
        <w:numPr>
          <w:ilvl w:val="0"/>
          <w:numId w:val="2"/>
        </w:numPr>
        <w:spacing w:after="80" w:line="268"/>
      </w:pPr>
      <w:r>
        <w:rPr>
          <w:color w:val="262626"/>
          <w:sz w:val="21"/>
          <w:szCs w:val="21"/>
        </w:rPr>
        <w:t xml:space="preserve">Student consent shall be recorded for any field exposed to recruiters.</w:t>
      </w:r>
    </w:p>
    <w:p>
      <w:pPr>
        <w:pStyle w:val="ListParagraph"/>
        <w:numPr>
          <w:ilvl w:val="0"/>
          <w:numId w:val="2"/>
        </w:numPr>
        <w:spacing w:after="80" w:line="268"/>
      </w:pPr>
      <w:r>
        <w:rPr>
          <w:color w:val="262626"/>
          <w:sz w:val="21"/>
          <w:szCs w:val="21"/>
        </w:rPr>
        <w:t xml:space="preserve">Model-driven risk flags shall be positioned as decision-support for faculty, not as automated academic actions (e.g., no automatic detention without human review).</w:t>
      </w:r>
    </w:p>
    <w:p>
      <w:r>
        <w:br w:type="page"/>
      </w:r>
    </w:p>
    <w:p>
      <w:pPr>
        <w:pStyle w:val="Heading1"/>
        <w:pBdr>
          <w:bottom w:val="single" w:color="1F3864" w:sz="8" w:space="4"/>
        </w:pBdr>
        <w:spacing w:after="200" w:before="400"/>
      </w:pPr>
      <w:r>
        <w:rPr>
          <w:b/>
          <w:bCs/>
          <w:color w:val="1F3864"/>
          <w:sz w:val="30"/>
          <w:szCs w:val="30"/>
        </w:rPr>
        <w:t xml:space="preserve">10.  Constraints, Assumptions &amp; Dependencies (Consolidated)</w:t>
      </w:r>
    </w:p>
    <w:p>
      <w:pPr>
        <w:pStyle w:val="Heading2"/>
        <w:spacing w:after="140" w:before="280"/>
      </w:pPr>
      <w:r>
        <w:rPr>
          <w:b/>
          <w:bCs/>
          <w:color w:val="0F6E6E"/>
          <w:sz w:val="24"/>
          <w:szCs w:val="24"/>
        </w:rPr>
        <w:t xml:space="preserve">10.1  Constraints</w:t>
      </w:r>
    </w:p>
    <w:p>
      <w:pPr>
        <w:pStyle w:val="ListParagraph"/>
        <w:numPr>
          <w:ilvl w:val="0"/>
          <w:numId w:val="2"/>
        </w:numPr>
        <w:spacing w:after="80" w:line="268"/>
      </w:pPr>
      <w:r>
        <w:rPr>
          <w:color w:val="262626"/>
          <w:sz w:val="21"/>
          <w:szCs w:val="21"/>
        </w:rPr>
        <w:t xml:space="preserve">8–10 week capstone timeline bounds the depth of feature engineering and model tuning achievable.</w:t>
      </w:r>
    </w:p>
    <w:p>
      <w:pPr>
        <w:pStyle w:val="ListParagraph"/>
        <w:numPr>
          <w:ilvl w:val="0"/>
          <w:numId w:val="2"/>
        </w:numPr>
        <w:spacing w:after="80" w:line="268"/>
      </w:pPr>
      <w:r>
        <w:rPr>
          <w:color w:val="262626"/>
          <w:sz w:val="21"/>
          <w:szCs w:val="21"/>
        </w:rPr>
        <w:t xml:space="preserve">Single-developer build; no dedicated QA, DevOps, or design resource.</w:t>
      </w:r>
    </w:p>
    <w:p>
      <w:pPr>
        <w:pStyle w:val="ListParagraph"/>
        <w:numPr>
          <w:ilvl w:val="0"/>
          <w:numId w:val="2"/>
        </w:numPr>
        <w:spacing w:after="80" w:line="268"/>
      </w:pPr>
      <w:r>
        <w:rPr>
          <w:color w:val="262626"/>
          <w:sz w:val="21"/>
          <w:szCs w:val="21"/>
        </w:rPr>
        <w:t xml:space="preserve">Institutional data access is subject to approval and may require anonymisation or synthetic substitution.</w:t>
      </w:r>
    </w:p>
    <w:p>
      <w:pPr>
        <w:pStyle w:val="Heading2"/>
        <w:spacing w:after="140" w:before="280"/>
      </w:pPr>
      <w:r>
        <w:rPr>
          <w:b/>
          <w:bCs/>
          <w:color w:val="0F6E6E"/>
          <w:sz w:val="24"/>
          <w:szCs w:val="24"/>
        </w:rPr>
        <w:t xml:space="preserve">10.2  Assumptions</w:t>
      </w:r>
    </w:p>
    <w:p>
      <w:pPr>
        <w:pStyle w:val="ListParagraph"/>
        <w:numPr>
          <w:ilvl w:val="0"/>
          <w:numId w:val="2"/>
        </w:numPr>
        <w:spacing w:after="80" w:line="268"/>
      </w:pPr>
      <w:r>
        <w:rPr>
          <w:color w:val="262626"/>
          <w:sz w:val="21"/>
          <w:szCs w:val="21"/>
        </w:rPr>
        <w:t xml:space="preserve">At least one semester of representative data (real or synthetic) will be available before Phase 3 (Data Collection) begins.</w:t>
      </w:r>
    </w:p>
    <w:p>
      <w:pPr>
        <w:pStyle w:val="ListParagraph"/>
        <w:numPr>
          <w:ilvl w:val="0"/>
          <w:numId w:val="2"/>
        </w:numPr>
        <w:spacing w:after="80" w:line="268"/>
      </w:pPr>
      <w:r>
        <w:rPr>
          <w:color w:val="262626"/>
          <w:sz w:val="21"/>
          <w:szCs w:val="21"/>
        </w:rPr>
        <w:t xml:space="preserve">Coding-platform integrations (LeetCode/HackerRank/GitHub) rely on publicly available profile data or user-provided exports rather than private API access.</w:t>
      </w:r>
    </w:p>
    <w:p>
      <w:pPr>
        <w:pStyle w:val="Heading2"/>
        <w:spacing w:after="140" w:before="280"/>
      </w:pPr>
      <w:r>
        <w:rPr>
          <w:b/>
          <w:bCs/>
          <w:color w:val="0F6E6E"/>
          <w:sz w:val="24"/>
          <w:szCs w:val="24"/>
        </w:rPr>
        <w:t xml:space="preserve">10.3  Dependencies</w:t>
      </w:r>
    </w:p>
    <w:p>
      <w:pPr>
        <w:pStyle w:val="ListParagraph"/>
        <w:numPr>
          <w:ilvl w:val="0"/>
          <w:numId w:val="2"/>
        </w:numPr>
        <w:spacing w:after="80" w:line="268"/>
      </w:pPr>
      <w:r>
        <w:rPr>
          <w:color w:val="262626"/>
          <w:sz w:val="21"/>
          <w:szCs w:val="21"/>
        </w:rPr>
        <w:t xml:space="preserve">Availability of a hosting environment (local or free-tier cloud) for the deployed API in Phase 8.</w:t>
      </w:r>
    </w:p>
    <w:p>
      <w:pPr>
        <w:pStyle w:val="ListParagraph"/>
        <w:numPr>
          <w:ilvl w:val="0"/>
          <w:numId w:val="2"/>
        </w:numPr>
        <w:spacing w:after="80" w:line="268"/>
      </w:pPr>
      <w:r>
        <w:rPr>
          <w:color w:val="262626"/>
          <w:sz w:val="21"/>
          <w:szCs w:val="21"/>
        </w:rPr>
        <w:t xml:space="preserve">Faculty cooperation for soft-skill evaluation and marks/attendance upload.</w:t>
      </w:r>
    </w:p>
    <w:p>
      <w:r>
        <w:br w:type="page"/>
      </w:r>
    </w:p>
    <w:p>
      <w:pPr>
        <w:pStyle w:val="Heading1"/>
        <w:pBdr>
          <w:bottom w:val="single" w:color="1F3864" w:sz="8" w:space="4"/>
        </w:pBdr>
        <w:spacing w:after="200" w:before="400"/>
      </w:pPr>
      <w:r>
        <w:rPr>
          <w:b/>
          <w:bCs/>
          <w:color w:val="1F3864"/>
          <w:sz w:val="30"/>
          <w:szCs w:val="30"/>
        </w:rPr>
        <w:t xml:space="preserve">11.  Appendix</w:t>
      </w:r>
    </w:p>
    <w:p>
      <w:pPr>
        <w:pStyle w:val="Heading2"/>
        <w:spacing w:after="140" w:before="280"/>
      </w:pPr>
      <w:r>
        <w:rPr>
          <w:b/>
          <w:bCs/>
          <w:color w:val="0F6E6E"/>
          <w:sz w:val="24"/>
          <w:szCs w:val="24"/>
        </w:rPr>
        <w:t xml:space="preserve">11.1  Traceability to Capstone Lifecycle Phases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SRS Section</w:t>
            </w:r>
          </w:p>
        </w:tc>
        <w:tc>
          <w:tcPr>
            <w:tcW w:type="dxa" w:w="5750"/>
            <w:shd w:fill="1F3864" w:val="clear"/>
            <w:tcMar>
              <w:top w:type="dxa" w:w="80"/>
              <w:left w:type="dxa" w:w="100"/>
              <w:bottom w:type="dxa" w:w="80"/>
              <w:right w:type="dxa" w:w="100"/>
            </w:tcMar>
            <w:vAlign w:val="center"/>
          </w:tcPr>
          <w:p>
            <w:r>
              <w:rPr>
                <w:b/>
                <w:bCs/>
                <w:color w:val="FFFFFF"/>
                <w:sz w:val="20"/>
                <w:szCs w:val="20"/>
              </w:rPr>
              <w:t xml:space="preserve">Corresponding Capstone Phase</w:t>
            </w:r>
          </w:p>
        </w:tc>
      </w:tr>
      <w:tr>
        <w:tc>
          <w:tcPr>
            <w:tcW w:type="dxa" w:w="3600"/>
            <w:tcMar>
              <w:top w:type="dxa" w:w="80"/>
              <w:left w:type="dxa" w:w="100"/>
              <w:bottom w:type="dxa" w:w="80"/>
              <w:right w:type="dxa" w:w="100"/>
            </w:tcMar>
            <w:vAlign w:val="center"/>
          </w:tcPr>
          <w:p>
            <w:r>
              <w:rPr>
                <w:b w:val="false"/>
                <w:bCs w:val="false"/>
                <w:color w:val="262626"/>
                <w:sz w:val="19"/>
                <w:szCs w:val="19"/>
              </w:rPr>
              <w:t xml:space="preserve">Sec. 2 (Overall Description)</w:t>
            </w:r>
          </w:p>
        </w:tc>
        <w:tc>
          <w:tcPr>
            <w:tcW w:type="dxa" w:w="5750"/>
            <w:tcMar>
              <w:top w:type="dxa" w:w="80"/>
              <w:left w:type="dxa" w:w="100"/>
              <w:bottom w:type="dxa" w:w="80"/>
              <w:right w:type="dxa" w:w="100"/>
            </w:tcMar>
            <w:vAlign w:val="center"/>
          </w:tcPr>
          <w:p>
            <w:r>
              <w:rPr>
                <w:b w:val="false"/>
                <w:bCs w:val="false"/>
                <w:color w:val="262626"/>
                <w:sz w:val="19"/>
                <w:szCs w:val="19"/>
              </w:rPr>
              <w:t xml:space="preserve">Phase 1 — Problem Identification, Domain Research &amp; Use-Case Finalization</w:t>
            </w:r>
          </w:p>
        </w:tc>
      </w:tr>
      <w:tr>
        <w:tc>
          <w:tcPr>
            <w:tcW w:type="dxa" w:w="3600"/>
            <w:shd w:fill="F2F2F2" w:val="clear"/>
            <w:tcMar>
              <w:top w:type="dxa" w:w="80"/>
              <w:left w:type="dxa" w:w="100"/>
              <w:bottom w:type="dxa" w:w="80"/>
              <w:right w:type="dxa" w:w="100"/>
            </w:tcMar>
            <w:vAlign w:val="center"/>
          </w:tcPr>
          <w:p>
            <w:r>
              <w:rPr>
                <w:b w:val="false"/>
                <w:bCs w:val="false"/>
                <w:color w:val="262626"/>
                <w:sz w:val="19"/>
                <w:szCs w:val="19"/>
              </w:rPr>
              <w:t xml:space="preserve">Sec. 4, 5 (Functional &amp; Data Requirements)</w:t>
            </w:r>
          </w:p>
        </w:tc>
        <w:tc>
          <w:tcPr>
            <w:tcW w:type="dxa" w:w="5750"/>
            <w:shd w:fill="F2F2F2" w:val="clear"/>
            <w:tcMar>
              <w:top w:type="dxa" w:w="80"/>
              <w:left w:type="dxa" w:w="100"/>
              <w:bottom w:type="dxa" w:w="80"/>
              <w:right w:type="dxa" w:w="100"/>
            </w:tcMar>
            <w:vAlign w:val="center"/>
          </w:tcPr>
          <w:p>
            <w:r>
              <w:rPr>
                <w:b w:val="false"/>
                <w:bCs w:val="false"/>
                <w:color w:val="262626"/>
                <w:sz w:val="19"/>
                <w:szCs w:val="19"/>
              </w:rPr>
              <w:t xml:space="preserve">Phase 2 — Data Understanding &amp; Requirement Analysis</w:t>
            </w:r>
          </w:p>
        </w:tc>
      </w:tr>
      <w:tr>
        <w:tc>
          <w:tcPr>
            <w:tcW w:type="dxa" w:w="3600"/>
            <w:tcMar>
              <w:top w:type="dxa" w:w="80"/>
              <w:left w:type="dxa" w:w="100"/>
              <w:bottom w:type="dxa" w:w="80"/>
              <w:right w:type="dxa" w:w="100"/>
            </w:tcMar>
            <w:vAlign w:val="center"/>
          </w:tcPr>
          <w:p>
            <w:r>
              <w:rPr>
                <w:b w:val="false"/>
                <w:bCs w:val="false"/>
                <w:color w:val="262626"/>
                <w:sz w:val="19"/>
                <w:szCs w:val="19"/>
              </w:rPr>
              <w:t xml:space="preserve">Sec. 5 (Data Requirements)</w:t>
            </w:r>
          </w:p>
        </w:tc>
        <w:tc>
          <w:tcPr>
            <w:tcW w:type="dxa" w:w="5750"/>
            <w:tcMar>
              <w:top w:type="dxa" w:w="80"/>
              <w:left w:type="dxa" w:w="100"/>
              <w:bottom w:type="dxa" w:w="80"/>
              <w:right w:type="dxa" w:w="100"/>
            </w:tcMar>
            <w:vAlign w:val="center"/>
          </w:tcPr>
          <w:p>
            <w:r>
              <w:rPr>
                <w:b w:val="false"/>
                <w:bCs w:val="false"/>
                <w:color w:val="262626"/>
                <w:sz w:val="19"/>
                <w:szCs w:val="19"/>
              </w:rPr>
              <w:t xml:space="preserve">Phase 3 — Data Collection &amp; Data Preparation (input)</w:t>
            </w:r>
          </w:p>
        </w:tc>
      </w:tr>
      <w:tr>
        <w:tc>
          <w:tcPr>
            <w:tcW w:type="dxa" w:w="3600"/>
            <w:shd w:fill="F2F2F2" w:val="clear"/>
            <w:tcMar>
              <w:top w:type="dxa" w:w="80"/>
              <w:left w:type="dxa" w:w="100"/>
              <w:bottom w:type="dxa" w:w="80"/>
              <w:right w:type="dxa" w:w="100"/>
            </w:tcMar>
            <w:vAlign w:val="center"/>
          </w:tcPr>
          <w:p>
            <w:r>
              <w:rPr>
                <w:b w:val="false"/>
                <w:bCs w:val="false"/>
                <w:color w:val="262626"/>
                <w:sz w:val="19"/>
                <w:szCs w:val="19"/>
              </w:rPr>
              <w:t xml:space="preserve">Sec. 6, 7 (Score, Risk, Success Metrics)</w:t>
            </w:r>
          </w:p>
        </w:tc>
        <w:tc>
          <w:tcPr>
            <w:tcW w:type="dxa" w:w="5750"/>
            <w:shd w:fill="F2F2F2" w:val="clear"/>
            <w:tcMar>
              <w:top w:type="dxa" w:w="80"/>
              <w:left w:type="dxa" w:w="100"/>
              <w:bottom w:type="dxa" w:w="80"/>
              <w:right w:type="dxa" w:w="100"/>
            </w:tcMar>
            <w:vAlign w:val="center"/>
          </w:tcPr>
          <w:p>
            <w:r>
              <w:rPr>
                <w:b w:val="false"/>
                <w:bCs w:val="false"/>
                <w:color w:val="262626"/>
                <w:sz w:val="19"/>
                <w:szCs w:val="19"/>
              </w:rPr>
              <w:t xml:space="preserve">Phases 4–7 — EDA, Feature Engineering, Model Building, Evaluation</w:t>
            </w:r>
          </w:p>
        </w:tc>
      </w:tr>
      <w:tr>
        <w:tc>
          <w:tcPr>
            <w:tcW w:type="dxa" w:w="3600"/>
            <w:tcMar>
              <w:top w:type="dxa" w:w="80"/>
              <w:left w:type="dxa" w:w="100"/>
              <w:bottom w:type="dxa" w:w="80"/>
              <w:right w:type="dxa" w:w="100"/>
            </w:tcMar>
            <w:vAlign w:val="center"/>
          </w:tcPr>
          <w:p>
            <w:r>
              <w:rPr>
                <w:b w:val="false"/>
                <w:bCs w:val="false"/>
                <w:color w:val="262626"/>
                <w:sz w:val="19"/>
                <w:szCs w:val="19"/>
              </w:rPr>
              <w:t xml:space="preserve">Sec. 8, 9 (Interfaces, NFRs)</w:t>
            </w:r>
          </w:p>
        </w:tc>
        <w:tc>
          <w:tcPr>
            <w:tcW w:type="dxa" w:w="5750"/>
            <w:tcMar>
              <w:top w:type="dxa" w:w="80"/>
              <w:left w:type="dxa" w:w="100"/>
              <w:bottom w:type="dxa" w:w="80"/>
              <w:right w:type="dxa" w:w="100"/>
            </w:tcMar>
            <w:vAlign w:val="center"/>
          </w:tcPr>
          <w:p>
            <w:r>
              <w:rPr>
                <w:b w:val="false"/>
                <w:bCs w:val="false"/>
                <w:color w:val="262626"/>
                <w:sz w:val="19"/>
                <w:szCs w:val="19"/>
              </w:rPr>
              <w:t xml:space="preserve">Phase 8 — Deployment (Basic)</w:t>
            </w:r>
          </w:p>
        </w:tc>
      </w:tr>
      <w:tr>
        <w:tc>
          <w:tcPr>
            <w:tcW w:type="dxa" w:w="3600"/>
            <w:shd w:fill="F2F2F2" w:val="clear"/>
            <w:tcMar>
              <w:top w:type="dxa" w:w="80"/>
              <w:left w:type="dxa" w:w="100"/>
              <w:bottom w:type="dxa" w:w="80"/>
              <w:right w:type="dxa" w:w="100"/>
            </w:tcMar>
            <w:vAlign w:val="center"/>
          </w:tcPr>
          <w:p>
            <w:r>
              <w:rPr>
                <w:b w:val="false"/>
                <w:bCs w:val="false"/>
                <w:color w:val="262626"/>
                <w:sz w:val="19"/>
                <w:szCs w:val="19"/>
              </w:rPr>
              <w:t xml:space="preserve">This document as a whole</w:t>
            </w:r>
          </w:p>
        </w:tc>
        <w:tc>
          <w:tcPr>
            <w:tcW w:type="dxa" w:w="5750"/>
            <w:shd w:fill="F2F2F2" w:val="clear"/>
            <w:tcMar>
              <w:top w:type="dxa" w:w="80"/>
              <w:left w:type="dxa" w:w="100"/>
              <w:bottom w:type="dxa" w:w="80"/>
              <w:right w:type="dxa" w:w="100"/>
            </w:tcMar>
            <w:vAlign w:val="center"/>
          </w:tcPr>
          <w:p>
            <w:r>
              <w:rPr>
                <w:b w:val="false"/>
                <w:bCs w:val="false"/>
                <w:color w:val="262626"/>
                <w:sz w:val="19"/>
                <w:szCs w:val="19"/>
              </w:rPr>
              <w:t xml:space="preserve">Phase 9 — Documentation &amp; Final Report (input artifact)</w:t>
            </w:r>
          </w:p>
        </w:tc>
      </w:tr>
    </w:tbl>
    <w:p>
      <w:pPr>
        <w:pStyle w:val="Heading2"/>
        <w:spacing w:after="140" w:before="280"/>
      </w:pPr>
      <w:r>
        <w:rPr>
          <w:b/>
          <w:bCs/>
          <w:color w:val="0F6E6E"/>
          <w:sz w:val="24"/>
          <w:szCs w:val="24"/>
        </w:rPr>
        <w:t xml:space="preserve">11.2  Open Questions for Stakeholder Review</w:t>
      </w:r>
    </w:p>
    <w:p>
      <w:pPr>
        <w:pStyle w:val="ListParagraph"/>
        <w:numPr>
          <w:ilvl w:val="0"/>
          <w:numId w:val="3"/>
        </w:numPr>
        <w:spacing w:after="80" w:line="268"/>
      </w:pPr>
      <w:r>
        <w:rPr>
          <w:color w:val="262626"/>
          <w:sz w:val="21"/>
          <w:szCs w:val="21"/>
        </w:rPr>
        <w:t xml:space="preserve">Which institutional systems can legally provide anonymised academic/attendance exports within the capstone timeline?</w:t>
      </w:r>
    </w:p>
    <w:p>
      <w:pPr>
        <w:pStyle w:val="ListParagraph"/>
        <w:numPr>
          <w:ilvl w:val="0"/>
          <w:numId w:val="3"/>
        </w:numPr>
        <w:spacing w:after="80" w:line="268"/>
      </w:pPr>
      <w:r>
        <w:rPr>
          <w:color w:val="262626"/>
          <w:sz w:val="21"/>
          <w:szCs w:val="21"/>
        </w:rPr>
        <w:t xml:space="preserve">Should the employability-score weighting model (Section 6.1) be uniform across branches, or branch-specific?</w:t>
      </w:r>
    </w:p>
    <w:p>
      <w:pPr>
        <w:pStyle w:val="ListParagraph"/>
        <w:numPr>
          <w:ilvl w:val="0"/>
          <w:numId w:val="3"/>
        </w:numPr>
        <w:spacing w:after="80" w:line="268"/>
      </w:pPr>
      <w:r>
        <w:rPr>
          <w:color w:val="262626"/>
          <w:sz w:val="21"/>
          <w:szCs w:val="21"/>
        </w:rPr>
        <w:t xml:space="preserve">What is the minimum data-retention period required by the institution for placement records?</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FORGR — SRS v1.0</w:t>
    </w:r>
    <w:r>
      <w:rPr>
        <w:color w:val="595959"/>
        <w:sz w:val="16"/>
        <w:szCs w:val="16"/>
      </w:rPr>
      <w:t xml:space="preserve">	Confidential — Academic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2026-07-29T17:47:23.720Z</dcterms:created>
  <dcterms:modified xsi:type="dcterms:W3CDTF">2026-07-29T17:47:23.734Z</dcterms:modified>
</cp:coreProperties>
</file>

<file path=docProps/custom.xml><?xml version="1.0" encoding="utf-8"?>
<Properties xmlns="http://schemas.openxmlformats.org/officeDocument/2006/custom-properties" xmlns:vt="http://schemas.openxmlformats.org/officeDocument/2006/docPropsVTypes"/>
</file>