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2026-03-04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Adani Enterprises Limited | CIN: L51100GJ1993PLC019067 | Sector: agri_processing</w:t>
      </w:r>
    </w:p>
    <w:p>
      <w:r>
        <w:t>Loan Request: ₹30.00 crore | Tenor: 36 months | Purpose: working_capital</w:t>
      </w:r>
    </w:p>
    <w:p>
      <w:r>
        <w:rPr>
          <w:b/>
        </w:rPr>
        <w:t>Recommendation: REJECT | Amount: ₹0.00 crore | Rate: -1.00%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Adani Enterprises Limited].</w:t>
      </w:r>
    </w:p>
    <w:p>
      <w:pPr>
        <w:pStyle w:val="Heading1"/>
      </w:pPr>
      <w:r>
        <w:t>SECTION 3: THE FIVE Cs ANALYSIS</w:t>
      </w:r>
    </w:p>
    <w:p>
      <w:pPr>
        <w:pStyle w:val="Heading2"/>
      </w:pPr>
      <w:r>
        <w:t>3.1 Character</w:t>
      </w:r>
    </w:p>
    <w:p>
      <w:r>
        <w:t>Score: 6.0/10 | Risk Level: MEDIUM</w:t>
      </w:r>
    </w:p>
    <w:p>
      <w:pPr>
        <w:pStyle w:val="Heading2"/>
      </w:pPr>
      <w:r>
        <w:t>3.2 Capacity</w:t>
      </w:r>
    </w:p>
    <w:p>
      <w:r>
        <w:t>Score: 9.42/10 | Risk Level: LOW</w:t>
      </w:r>
    </w:p>
    <w:p>
      <w:pPr>
        <w:pStyle w:val="Heading2"/>
      </w:pPr>
      <w:r>
        <w:t>3.3 Capital</w:t>
      </w:r>
    </w:p>
    <w:p>
      <w:r>
        <w:t>Score: 9.05/10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1.3888888888888888</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4012041.6895</w:t>
            </w:r>
          </w:p>
        </w:tc>
      </w:tr>
      <w:tr>
        <w:tc>
          <w:tcPr>
            <w:tcW w:type="dxa" w:w="4320"/>
          </w:tcPr>
          <w:p>
            <w:r>
              <w:t>Consistency Score</w:t>
            </w:r>
          </w:p>
        </w:tc>
        <w:tc>
          <w:tcPr>
            <w:tcW w:type="dxa" w:w="4320"/>
          </w:tcPr>
          <w:p>
            <w:r>
              <w:t>39.0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Gst Return Filing Consistency weakens credit quality (impact -0.514).</w:t>
            </w:r>
          </w:p>
        </w:tc>
        <w:tc>
          <w:tcPr>
            <w:tcW w:type="dxa" w:w="2880"/>
          </w:tcPr>
          <w:p>
            <w:r>
              <w:t>Medium/High</w:t>
            </w:r>
          </w:p>
        </w:tc>
        <w:tc>
          <w:tcPr>
            <w:tcW w:type="dxa" w:w="2880"/>
          </w:tcPr>
          <w:p>
            <w:r>
              <w:t>Quarterly covenant tracking and early warning triggers.</w:t>
            </w:r>
          </w:p>
        </w:tc>
      </w:tr>
      <w:tr>
        <w:tc>
          <w:tcPr>
            <w:tcW w:type="dxa" w:w="2880"/>
          </w:tcPr>
          <w:p>
            <w:r>
              <w:t>Dscr weakens credit quality (impact -0.504).</w:t>
            </w:r>
          </w:p>
        </w:tc>
        <w:tc>
          <w:tcPr>
            <w:tcW w:type="dxa" w:w="2880"/>
          </w:tcPr>
          <w:p>
            <w:r>
              <w:t>Medium/High</w:t>
            </w:r>
          </w:p>
        </w:tc>
        <w:tc>
          <w:tcPr>
            <w:tcW w:type="dxa" w:w="2880"/>
          </w:tcPr>
          <w:p>
            <w:r>
              <w:t>Quarterly covenant tracking and early warning triggers.</w:t>
            </w:r>
          </w:p>
        </w:tc>
      </w:tr>
      <w:tr>
        <w:tc>
          <w:tcPr>
            <w:tcW w:type="dxa" w:w="2880"/>
          </w:tcPr>
          <w:p>
            <w:r>
              <w:t>Mca Filing Compliance Score weakens credit quality (impact -0.389).</w:t>
            </w:r>
          </w:p>
        </w:tc>
        <w:tc>
          <w:tcPr>
            <w:tcW w:type="dxa" w:w="2880"/>
          </w:tcPr>
          <w:p>
            <w:r>
              <w:t>Medium/High</w:t>
            </w:r>
          </w:p>
        </w:tc>
        <w:tc>
          <w:tcPr>
            <w:tcW w:type="dxa" w:w="2880"/>
          </w:tcPr>
          <w:p>
            <w:r>
              <w:t>Quarterly covenant tracking and early warning triggers.</w:t>
            </w:r>
          </w:p>
        </w:tc>
      </w:tr>
    </w:tbl>
    <w:p>
      <w:r>
        <w:t>Overall data consistency score: 39.0</w:t>
      </w:r>
    </w:p>
    <w:p>
      <w:pPr>
        <w:pStyle w:val="Heading1"/>
      </w:pPr>
      <w:r>
        <w:t>SECTION 6: RESEARCH FINDINGS</w:t>
      </w:r>
    </w:p>
    <w:p>
      <w:r>
        <w:t>**Section 6 – Research Findings**</w:t>
        <w:br/>
        <w:br/>
        <w:t xml:space="preserve">**1. Critical and High‑Severity Issues (Priority)**  </w:t>
        <w:br/>
        <w:br/>
        <w:t xml:space="preserve">- **Alleged fake import‑export documentation &amp; GST fraud (Critical).**  Hindenburg’s report alleges that multiple Adani entities fabricated import‑export paperwork and used offshore shell companies (Mauritius, UAE, Caribbean) to create artificial turnover and evade GST. The purported scheme, if substantiated, could expose the group to massive tax recoveries and penalties, eroding cash flows and collateral value.  </w:t>
        <w:br/>
        <w:br/>
        <w:t xml:space="preserve">- **Offshore shells for stock‑parking and market manipulation (Critical).**  Investigation identifies 38 Mauritius‑registered shells, controlled by Vinod Adani and associates, allegedly used to park billions of rupees in listed and private Adani entities, facilitating price manipulation. This raises serious corporate‑governance and fraud risk, with potential criminal prosecution.  </w:t>
        <w:br/>
        <w:br/>
        <w:t xml:space="preserve">- **Bombay HC quashes DRI letters rogatory in the Rs 29,000 cr coal over‑invoicing case (Critical).**  While the court’s order curtails the specific DRI proceeding, it underscores the existence of a long‑running over‑invoicing investigation (since 2009) that has involved raids at &gt;80 locations and alleged fraud of Rs 29,000 crore. The unresolved allegation continues to loom over the group’s compliance profile.  </w:t>
        <w:br/>
        <w:br/>
        <w:t xml:space="preserve">- **Current ratios &lt; 1 for five of seven listed Adani companies (High).**  Five listed subsidiaries report current ratios below unity, indicating that current liabilities exceed current assets and signalling near‑term liquidity stress. This weak working‑capital position heightens the probability of covenant breaches under existing debt facilities.  </w:t>
        <w:br/>
        <w:br/>
        <w:t xml:space="preserve">- **Promoter ownership approaching SEBI delisting thresholds (High).**  Four listed entities have promoter holdings near the 75 % ceiling, breaching the SEBI requirement of a minimum 25 % free‑float. This creates a material risk of forced delisting or regulatory sanctions, which could impair marketability of securities pledged as collateral.  </w:t>
        <w:br/>
        <w:br/>
        <w:t xml:space="preserve">- **Significant debt and share‑pledge financing (High).**  The group’s subsidiaries have amassed sizeable borrowings secured by pledged shares of their own inflated stock. Any de‑valuation of the underlying equity—triggered by the above regulatory and market‑manipulation concerns—would materially impair collateral coverage ratios.  </w:t>
        <w:br/>
        <w:br/>
        <w:t xml:space="preserve">- **US OFAC civil investigation (High).**  A civil probe into possible sanctions violations (transactions potentially involving Iran) was disclosed on 4 Feb 2026. Although Adani Enterprises asserts no violations and no material impact, the investigation introduces sovereign‑risk exposure and could result in secondary sanctions or asset freezes.  </w:t>
        <w:br/>
        <w:br/>
        <w:t xml:space="preserve">**2. Medium‑Severity Concerns**  </w:t>
        <w:br/>
        <w:br/>
        <w:t xml:space="preserve">- DRI investigations into a 2004‑05 diamond‑trading fraud (≈ Rs 1,000 cr tax evasion) and ongoing coal over‑invoicing probe (Rs 29,000 cr).  </w:t>
        <w:br/>
        <w:t xml:space="preserve">- Market reaction: share price fell &gt; 3 % on OFAC news, reflecting heightened investor sensitivity.  </w:t>
        <w:br/>
        <w:t xml:space="preserve">- Potential spill‑over of the High Court order to Enforcement Directorate, Income‑Tax and SFIO investigations, adding regulatory uncertainty.  </w:t>
        <w:br/>
        <w:br/>
        <w:t xml:space="preserve">**3. Informational Positives**  </w:t>
        <w:br/>
        <w:br/>
        <w:t xml:space="preserve">- MCA filings are clean with no struck‑off entities.  </w:t>
        <w:br/>
        <w:t xml:space="preserve">- No material litigation recorded in district/high courts.  </w:t>
        <w:br/>
        <w:t xml:space="preserve">- No regulatory raids reported as of Jan 2023, and the group has issued denial statements on certain FIRs, indicating proactive reputation management.  </w:t>
        <w:br/>
        <w:br/>
        <w:t xml:space="preserve">**4. Risk Implication for Sanction Decision**  </w:t>
        <w:br/>
        <w:br/>
        <w:t>The preponderance of critical and high‑severity red flags—particularly alleged GST fraud, offshore shell misuse, weak liquidity metrics, promoter concentration, and an active OFAC probe—drives the research verdict to **HIGH RISK** with a score impact of **‑1,068 points**. Consequently, the credit committee should consider either **denial of new exposure** or, if exposure is unavoidable, impose stringent covenants: (i) minimum cash‑flow coverage of 1.5×, (ii) capped share‑pledge ratios, (iii) mandatory quarterly compliance reporting, and (iv) a heightened monitoring frequency (monthly). The aggregate risk profile suggests that the probability of default and loss‑given‑default are materially elevated, warranting a conservative sanction stance.</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r>
        <w:t>[Severity.CRITICAL] Scribd: Hindenburg’s report alleges that Adani entities used forged import/export paperwork and offshore shell companies to generate artificial turnover, potentially evading GST and other taxes. The scheme is linked to family‑controlled entities in Mauritius, UAE and Caribbean jurisdictions.</w:t>
      </w:r>
    </w:p>
    <w:p>
      <w:r>
        <w:t>[Severity.HIGH] Scribd: Five of the seven listed Adani group companies reported current ratios under 1, indicating that current liabilities exceed current assets and signalling near‑term liquidity stress.</w:t>
      </w:r>
    </w:p>
    <w:p>
      <w:r>
        <w:t>[Severity.HIGH] Scribd: Four Adani listed entities have promoter holdings close to the 75 % ceiling, breaching SEBI’s requirement that at least 25 % of the free‑float be held by non‑promoters. This raises the risk of forced delisting or regulatory sanctions.</w:t>
      </w:r>
    </w:p>
    <w:p>
      <w:r>
        <w:t>[Severity.CRITICAL] Scribd: The report identifies 38 Mauritius‑registered shell companies, controlled by Vinod Adani and associates, that allegedly moved billions of rupees into Adani listed and private entities to park shares and manipulate stock prices.</w:t>
      </w:r>
    </w:p>
    <w:p>
      <w:r>
        <w:t>[Severity.MEDIUM] Scribd: Directorate of Revenue Intelligence (DRI) accused Rajesh Adani and brother‑in‑law Samir Vora of orchestrating a diamond‑trading import/export fraud that involved offshore entities, false statements to regulators and alleged tax evasion.</w:t>
      </w:r>
    </w:p>
    <w:p>
      <w:r>
        <w:t>[Severity.HIGH] Scribd: Adani’s listed subsidiaries have taken on substantial borrowings, often secured by pledged shares of their own inflated stock, heightening leverage risk and exposing lenders to potential collateral devaluation.</w:t>
      </w:r>
    </w:p>
    <w:p>
      <w:r>
        <w:t>[Severity.HIGH] Marketscreener: Adani Enterprises disclosed that the U.S. Treasury's Office of Foreign Assets Control (OFAC) has initiated a civil investigation into certain transactions that may have involved Iran or sanctioned parties. The company received the request for information on 4 February 2026 and has voluntarily engaged with OFAC, stating that no violations have been identified and no financial impact is expected.</w:t>
      </w:r>
    </w:p>
    <w:p>
      <w:r>
        <w:t>[Severity.MEDIUM] Marketscreener: Following the announcement of the OFAC inquiry, Adani Enterprises' shares slipped more than 3% intraday, later stabilising at a 0.3% decline on the day of the news (10 February 2026). The price movement reflects market sensitivity to regulatory risk.</w:t>
      </w:r>
    </w:p>
    <w:p>
      <w:pPr>
        <w:pStyle w:val="Heading1"/>
      </w:pPr>
      <w:r>
        <w:t>SECTION 7: RECOMMENDATION</w:t>
      </w:r>
    </w:p>
    <w:p>
      <w:r>
        <w:t>Final credit score: 450.0/900</w:t>
      </w:r>
    </w:p>
    <w:p>
      <w:r>
        <w:t>Decision: REJECT</w:t>
      </w:r>
    </w:p>
    <w:p>
      <w:r>
        <w:t>Recommended loan amount: ₹0.00 crore</w:t>
      </w:r>
    </w:p>
    <w:p>
      <w:r>
        <w:t>Recommended interest rate: -1.00% p.a.</w:t>
      </w:r>
    </w:p>
    <w:p>
      <w:r>
        <w:t>Tenor: 36 months</w:t>
      </w:r>
    </w:p>
    <w:p>
      <w:r>
        <w:t>AI Explainability Note:</w:t>
      </w:r>
    </w:p>
    <w:p>
      <w:r>
        <w:t>The recommendation balances cashflow resilience against detected governance and compliance risks. DSCR is observed at 1.39x, GST ITC gap at 0.00%, and factory utilization at 65.0%. Positive drivers include: Has Nclt Proceedings supports credit quality (impact +2.260).; Has Promoter Fraud News supports credit quality (impact +1.782).; Has Going Concern Doubt supports credit quality (impact +1.462). Key constraints include: Gst Return Filing Consistency weakens credit quality (impact -0.514).; Dscr weakens credit quality (impact -0.504).; Mca Filing Compliance Score weakens credit quality (impact -0.389).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 https://www.scribd.com/document/622392329/Hindenburg-Research-Report-on-Adani-24-January-2023</w:t>
      </w:r>
    </w:p>
    <w:p>
      <w:r>
        <w:t>- https://www.scribd.com/document/622392329/Hindenburg-Research-Report-on-Adani-24-January-2023</w:t>
      </w:r>
    </w:p>
    <w:p>
      <w:r>
        <w:t>- https://www.scribd.com/document/622392329/Hindenburg-Research-Report-on-Adani-24-January-2023</w:t>
      </w:r>
    </w:p>
    <w:p>
      <w:r>
        <w:t>- https://www.scribd.com/document/622392329/Hindenburg-Research-Report-on-Adani-24-January-2023</w:t>
      </w:r>
    </w:p>
    <w:p>
      <w:r>
        <w:t>- https://www.scribd.com/document/622392329/Hindenburg-Research-Report-on-Adani-24-January-2023</w:t>
      </w:r>
    </w:p>
    <w:p>
      <w:r>
        <w:t>- https://www.scribd.com/document/622392329/Hindenburg-Research-Report-on-Adani-24-January-2023</w:t>
      </w:r>
    </w:p>
    <w:p>
      <w:r>
        <w:t>- https://www.marketscreener.com/news/india-s-adani-enterprises-says-in-talks-with-us-office-of-foreign-assets-ce7e5adfdd88f123</w:t>
      </w:r>
    </w:p>
    <w:p>
      <w:r>
        <w:t>- https://www.marketscreener.com/news/india-s-adani-enterprises-says-in-talks-with-us-office-of-foreign-assets-ce7e5adfdd88f123</w:t>
      </w:r>
    </w:p>
    <w:p>
      <w:r>
        <w:t>- https://www.marketscreener.com/news/india-s-adani-enterprises-says-in-talks-with-us-office-of-foreign-assets-ce7e5adfdd88f123</w:t>
      </w:r>
    </w:p>
    <w:p>
      <w:r>
        <w:t>- https://www.newsclick.in/Adani-Bombay-High-Court-Order-Finance-Ministry-Letters-Rogatory</w:t>
      </w:r>
    </w:p>
    <w:p>
      <w:r>
        <w:t>- https://www.newsclick.in/Adani-Bombay-High-Court-Order-Finance-Ministry-Letters-Rogatory</w:t>
      </w:r>
    </w:p>
    <w:p>
      <w:r>
        <w:t>- https://www.newsclick.in/Adani-Bombay-High-Court-Order-Finance-Ministry-Letters-Rogatory</w:t>
      </w:r>
    </w:p>
    <w:p>
      <w:r>
        <w:t>- https://www.jstor.org/stable/44166887</w:t>
      </w:r>
    </w:p>
    <w:p>
      <w:r>
        <w:t>- https://www.adani.com/-/media/Project/Adani/Invetsors/Adani-Response-to-hindenburg-January-29-2023.pdf</w:t>
      </w:r>
    </w:p>
    <w:p>
      <w:r>
        <w:t>- https://www.quora.com/What-is-the-CBIs-stance-on-the-Adani-Group</w:t>
      </w:r>
    </w:p>
    <w:p>
      <w:r>
        <w:t>- https://www.quora.com/What-is-the-CBIs-stance-on-the-Adani-Group</w:t>
      </w:r>
    </w:p>
    <w:p>
      <w:r>
        <w:t>- https://www.nationalheraldindia.com/india/ofb-employees-demand-action-against-adani-group-for-violating-patent-act-showing-army-uniform-at-police-expo</w:t>
      </w:r>
    </w:p>
    <w:p>
      <w:r>
        <w:t>- https://www.adanienterprises.com/-/media/Project/Enterprises/Investors/Scheme-of-Arrangement-Adani-Enterprise-Limited-and-Adani-New-Industries-Limited/NCLT-Order-on-the-Scheme-14112025.pdf</w:t>
      </w:r>
    </w:p>
    <w:p>
      <w:r>
        <w:t>Annexure C: SHAP explanation chart (placeholder)</w:t>
      </w:r>
    </w:p>
    <w:p>
      <w:r>
        <w:t>SHAP top factors: has_nclt_proceedings, has_promoter_fraud_news, has_going_concern_doubt, gst_return_filing_consistency, dscr, mca_filing_compliance_score, interest_coverage_ratio, gst_banking_ratio, ebitda_margin, average_bank_balance_to_limit_ratio</w:t>
      </w:r>
    </w:p>
    <w:p>
      <w:r>
        <w:t>Annexure D: Glossary of Indian credit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