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2026-03-04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Live Research Demo Foods Pvt Ltd | CIN: U15400MH2017PTC300111 | Sector: agri_processing</w:t>
      </w:r>
    </w:p>
    <w:p>
      <w:r>
        <w:t>Loan Request: ₹30.00 crore | Tenor: 36 months | Purpose: working_capital</w:t>
      </w:r>
    </w:p>
    <w:p>
      <w:r>
        <w:rPr>
          <w:b/>
        </w:rPr>
        <w:t>Recommendation: REJECT | Amount: ₹0.00 crore | Rate: -1.00%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Live Research Demo Foods Pvt Ltd].</w:t>
      </w:r>
    </w:p>
    <w:p>
      <w:pPr>
        <w:pStyle w:val="Heading1"/>
      </w:pPr>
      <w:r>
        <w:t>SECTION 3: THE FIVE Cs ANALYSIS</w:t>
      </w:r>
    </w:p>
    <w:p>
      <w:pPr>
        <w:pStyle w:val="Heading2"/>
      </w:pPr>
      <w:r>
        <w:t>3.1 Character</w:t>
      </w:r>
    </w:p>
    <w:p>
      <w:r>
        <w:t>Score: 10.0/10 | Risk Level: LOW</w:t>
      </w:r>
    </w:p>
    <w:p>
      <w:pPr>
        <w:pStyle w:val="Heading2"/>
      </w:pPr>
      <w:r>
        <w:t>3.2 Capacity</w:t>
      </w:r>
    </w:p>
    <w:p>
      <w:r>
        <w:t>Score: 9.42/10 | Risk Level: LOW</w:t>
      </w:r>
    </w:p>
    <w:p>
      <w:pPr>
        <w:pStyle w:val="Heading2"/>
      </w:pPr>
      <w:r>
        <w:t>3.3 Capital</w:t>
      </w:r>
    </w:p>
    <w:p>
      <w:r>
        <w:t>Score: 9.05/10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1.3888888888888888</w:t>
            </w:r>
          </w:p>
        </w:tc>
      </w:tr>
      <w:tr>
        <w:tc>
          <w:tcPr>
            <w:tcW w:type="dxa" w:w="4320"/>
          </w:tcPr>
          <w:p>
            <w:r>
              <w:t>Debt/Equity</w:t>
            </w:r>
          </w:p>
        </w:tc>
        <w:tc>
          <w:tcPr>
            <w:tcW w:type="dxa" w:w="4320"/>
          </w:tcPr>
          <w:p>
            <w:r>
              <w:t>1.35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4012041.6895</w:t>
            </w:r>
          </w:p>
        </w:tc>
      </w:tr>
      <w:tr>
        <w:tc>
          <w:tcPr>
            <w:tcW w:type="dxa" w:w="4320"/>
          </w:tcPr>
          <w:p>
            <w:r>
              <w:t>Consistency Score</w:t>
            </w:r>
          </w:p>
        </w:tc>
        <w:tc>
          <w:tcPr>
            <w:tcW w:type="dxa" w:w="4320"/>
          </w:tcPr>
          <w:p>
            <w:r>
              <w:t>39.0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Nclt Proceedings weakens credit quality (impact -1.504).</w:t>
            </w:r>
          </w:p>
        </w:tc>
        <w:tc>
          <w:tcPr>
            <w:tcW w:type="dxa" w:w="2880"/>
          </w:tcPr>
          <w:p>
            <w:r>
              <w:t>Medium/High</w:t>
            </w:r>
          </w:p>
        </w:tc>
        <w:tc>
          <w:tcPr>
            <w:tcW w:type="dxa" w:w="2880"/>
          </w:tcPr>
          <w:p>
            <w:r>
              <w:t>Quarterly covenant tracking and early warning triggers.</w:t>
            </w:r>
          </w:p>
        </w:tc>
      </w:tr>
      <w:tr>
        <w:tc>
          <w:tcPr>
            <w:tcW w:type="dxa" w:w="2880"/>
          </w:tcPr>
          <w:p>
            <w:r>
              <w:t>Has Promoter Fraud News weakens credit quality (impact -1.220).</w:t>
            </w:r>
          </w:p>
        </w:tc>
        <w:tc>
          <w:tcPr>
            <w:tcW w:type="dxa" w:w="2880"/>
          </w:tcPr>
          <w:p>
            <w:r>
              <w:t>Medium/High</w:t>
            </w:r>
          </w:p>
        </w:tc>
        <w:tc>
          <w:tcPr>
            <w:tcW w:type="dxa" w:w="2880"/>
          </w:tcPr>
          <w:p>
            <w:r>
              <w:t>Quarterly covenant tracking and early warning triggers.</w:t>
            </w:r>
          </w:p>
        </w:tc>
      </w:tr>
      <w:tr>
        <w:tc>
          <w:tcPr>
            <w:tcW w:type="dxa" w:w="2880"/>
          </w:tcPr>
          <w:p>
            <w:r>
              <w:t>Dscr weakens credit quality (impact -0.894).</w:t>
            </w:r>
          </w:p>
        </w:tc>
        <w:tc>
          <w:tcPr>
            <w:tcW w:type="dxa" w:w="2880"/>
          </w:tcPr>
          <w:p>
            <w:r>
              <w:t>Medium/High</w:t>
            </w:r>
          </w:p>
        </w:tc>
        <w:tc>
          <w:tcPr>
            <w:tcW w:type="dxa" w:w="2880"/>
          </w:tcPr>
          <w:p>
            <w:r>
              <w:t>Quarterly covenant tracking and early warning triggers.</w:t>
            </w:r>
          </w:p>
        </w:tc>
      </w:tr>
    </w:tbl>
    <w:p>
      <w:r>
        <w:t>Overall data consistency score: 39.0</w:t>
      </w:r>
    </w:p>
    <w:p>
      <w:pPr>
        <w:pStyle w:val="Heading1"/>
      </w:pPr>
      <w:r>
        <w:t>SECTION 6: RESEARCH FINDINGS</w:t>
      </w:r>
    </w:p>
    <w:p>
      <w:r>
        <w:t>**Section 6 — Research Findings**</w:t>
        <w:br/>
        <w:br/>
        <w:t xml:space="preserve">**Critical Negatives – None Identified**  </w:t>
        <w:br/>
        <w:t>A comprehensive search of the district courts, high courts and the e‑Courts portal (Mock) returned no pending or adjudicated suits, execution proceedings, or any other material litigation against Live Research Demo Foods Pvt Ltd. The absence of legal encumbrances eliminates the risk of contingent outflows or asset freezes that could impair cash‑flow generation. Likewise, the Ministry of Corporate Affairs (MCA) database confirms a clean filing record with all statutory returns, annual returns and financial statements filed within prescribed timelines. No notices of striking‑off, dissolution or director disqualifications have been recorded. Consequently, there are no red‑flag items that would warrant a heightened risk premium or additional security requirements.</w:t>
        <w:br/>
        <w:br/>
        <w:t xml:space="preserve">**Sector Context and Positive Attributes**  </w:t>
        <w:br/>
        <w:t>Live Research Demo Foods operates in the packaged food segment, a sub‑industry of the broader FMCG sector that has demonstrated resilient demand even during macro‑economic headwinds. The sector benefits from a favourable demographic dividend, rising per‑capita consumption and a robust distribution network across Tier‑II and Tier‑III cities. Regulatory oversight by the Food Safety and Standards Authority of India (FSSAI) is well‑established, and the company’s compliance record, as reflected in its MCA filings, indicates adherence to statutory norms. The firm’s business model—focused on value‑added ready‑to‑eat products—aligns with the ongoing shift towards convenience consumption, supporting stable top‑line growth prospects.</w:t>
        <w:br/>
        <w:br/>
        <w:t xml:space="preserve">**Risk Implication for Sanction Decision**  </w:t>
        <w:br/>
        <w:t>Given the absence of material litigation, a pristine MCA compliance history, and a sector backdrop that is fundamentally sound, the research verdict is classified as **LOW_RISK** with a **Score Impact of 0.0**. The risk profile does not warrant any adverse adjustment to the credit rating or the imposition of additional covenants beyond the standard financial covenants (e.g., Debt Service Coverage Ratio ≥ 1.25, Minimum Net Worth maintenance). The underwriting team may therefore proceed with the proposed sanction, subject to routine monitoring of financial performance and periodic compliance checks. The low‑risk assessment supports a standard pricing structure and suggests that the borrower’s repayment capacity is unlikely to be compromised by external legal or regulatory shocks.</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450.0/900</w:t>
      </w:r>
    </w:p>
    <w:p>
      <w:r>
        <w:t>Decision: REJECT</w:t>
      </w:r>
    </w:p>
    <w:p>
      <w:r>
        <w:t>Recommended loan amount: ₹0.00 crore</w:t>
      </w:r>
    </w:p>
    <w:p>
      <w:r>
        <w:t>Recommended interest rate: -1.00% p.a.</w:t>
      </w:r>
    </w:p>
    <w:p>
      <w:r>
        <w:t>Tenor: 36 months</w:t>
      </w:r>
    </w:p>
    <w:p>
      <w:r>
        <w:t>AI Explainability Note:</w:t>
      </w:r>
    </w:p>
    <w:p>
      <w:r>
        <w:t>The recommendation balances cashflow resilience against detected governance and compliance risks. DSCR is observed at 1.39x, GST ITC gap at 0.00%, and factory utilization at 65.0%. Positive drivers include: Has Going Concern Doubt supports credit quality (impact +1.675).; Revenue Cagr 3Yr supports credit quality (impact +0.420).; Interest Coverage Ratio supports credit quality (impact +0.414). Key constraints include: Has Nclt Proceedings weakens credit quality (impact -1.504).; Has Promoter Fraud News weakens credit quality (impact -1.220).; Dscr weakens credit quality (impact -0.894).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has_going_concern_doubt, has_nclt_proceedings, has_promoter_fraud_news, dscr, mca_filing_compliance_score, gst_return_filing_consistency, revenue_cagr_3yr, interest_coverage_ratio, ebitda_margin, gst_banking_ratio</w:t>
      </w:r>
    </w:p>
    <w:p>
      <w:r>
        <w:t>Annexure D: Glossary of Indian credit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