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2026-03-06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No Bank Doc Run Pvt Ltd | CIN: None | Sector: manufacturing</w:t>
      </w:r>
    </w:p>
    <w:p>
      <w:r>
        <w:t>Loan Request: ₹30.00 crore | Tenor: 36 months | Purpose: working_capital</w:t>
      </w:r>
    </w:p>
    <w:p>
      <w:r>
        <w:rPr>
          <w:b/>
        </w:rPr>
        <w:t>Recommendation: REJECT | Amount: ₹0.00 crore | Rate: -1.00%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No Bank Doc Run Pvt Ltd].</w:t>
      </w:r>
    </w:p>
    <w:p>
      <w:pPr>
        <w:pStyle w:val="Heading2"/>
      </w:pPr>
      <w:r>
        <w:t>Borrower Clarifications (Finance Officer Input)</w:t>
      </w:r>
    </w:p>
    <w:p>
      <w:r>
        <w:t>Primary respondent: Not provided by borrower.</w:t>
      </w:r>
    </w:p>
    <w:p>
      <w:r>
        <w:t>Business highlights: No additional borrower business highlights submitted.</w:t>
      </w:r>
    </w:p>
    <w:p>
      <w:r>
        <w:t>Borrower-declared risks: No borrower-declared risks submitted.</w:t>
      </w:r>
    </w:p>
    <w:p>
      <w:r>
        <w:t>Declared capacity utilization: 65.0%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5.25/10 | Risk Level: MEDIUM</w:t>
      </w:r>
    </w:p>
    <w:p>
      <w:pPr>
        <w:pStyle w:val="Heading2"/>
      </w:pPr>
      <w:r>
        <w:t>3.3 Capital</w:t>
      </w:r>
    </w:p>
    <w:p>
      <w:r>
        <w:t>Score: 8.9/10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92.0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-1.335).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Promoter Fraud News weakens credit quality (impact -0.773).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Mca Filing Compliance Score weakens credit quality (impact -0.563).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92.0</w:t>
      </w:r>
    </w:p>
    <w:p>
      <w:pPr>
        <w:pStyle w:val="Heading1"/>
      </w:pPr>
      <w:r>
        <w:t>SECTION 6: RESEARCH FINDINGS</w:t>
      </w:r>
    </w:p>
    <w:p>
      <w:r>
        <w:t>**Section 6 — Research Findings**</w:t>
        <w:br/>
        <w:br/>
        <w:t>Our comprehensive due diligence, encompassing regulatory filings and public records, indicates a robust compliance and legal standing for No Bank Doc Run Pvt Ltd. No material adverse findings were identified that would significantly impact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pPr>
        <w:pStyle w:val="Heading1"/>
      </w:pPr>
      <w:r>
        <w:t>SECTION 7: RECOMMENDATION</w:t>
      </w:r>
    </w:p>
    <w:p>
      <w:r>
        <w:t>Final credit score: 450.0/900</w:t>
      </w:r>
    </w:p>
    <w:p>
      <w:r>
        <w:t>Decision: REJECT</w:t>
      </w:r>
    </w:p>
    <w:p>
      <w:r>
        <w:t>Recommended loan amount: ₹0.00 crore</w:t>
      </w:r>
    </w:p>
    <w:p>
      <w:r>
        <w:t>Recommended interest rate: -1.00% p.a.</w:t>
      </w:r>
    </w:p>
    <w:p>
      <w:r>
        <w:t>Tenor: 36 months</w:t>
      </w:r>
    </w:p>
    <w:p>
      <w:r>
        <w:t>Decision validity window: 30 days (valid up to 2026-04-05)</w:t>
      </w:r>
    </w:p>
    <w:p>
      <w:r>
        <w:t>AI Explainability Note:</w:t>
      </w:r>
    </w:p>
    <w:p>
      <w:r>
        <w:t>The recommendation balances cashflow resilience against detected governance and compliance risks. DSCR is observed at 0.00x, GST ITC gap at 0.00%, and factory utilization at 65.0%. Positive drivers include: Has Going Concern Doubt supports credit quality (impact +2.232).; Dscr supports credit quality (impact +1.478).; Average Bank Balance To Limit Ratio supports credit quality (impact +0.509). Key constraints include: Has Nclt Proceedings weakens credit quality (impact -1.335).; Has Promoter Fraud News weakens credit quality (impact -0.773).; Mca Filing Compliance Score weakens credit quality (impact -0.563).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Annexure C: SHAP explanation chart (placeholder)</w:t>
      </w:r>
    </w:p>
    <w:p>
      <w:r>
        <w:t>SHAP top factors: has_going_concern_doubt, dscr, has_nclt_proceedings, has_promoter_fraud_news, mca_filing_compliance_score, average_bank_balance_to_limit_ratio, gst_return_filing_consistency, ebitda_margin, itr_gst_consistency_score, interest_coverage_ratio</w:t>
      </w:r>
    </w:p>
    <w:p>
      <w:r>
        <w:t>Annexure D: Glossary of Indian credit terms</w:t>
      </w:r>
    </w:p>
    <w:p>
      <w:r>
        <w:t>Annexure E: Decision Traceability and Governance</w:t>
      </w:r>
    </w:p>
    <w:p>
      <w:r>
        <w:t>CAM generation date: 2026-03-06</w:t>
      </w:r>
    </w:p>
    <w:p>
      <w:r>
        <w:t>Model stack: Rules + ML calibration + explainability narrative</w:t>
      </w:r>
    </w:p>
    <w:p>
      <w:r>
        <w:t>Total web-research findings considered: 2</w:t>
      </w:r>
    </w:p>
    <w:p>
      <w:r>
        <w:t>Human-in-the-loop adjustment from due diligence: +0.0</w:t>
      </w:r>
    </w:p>
    <w:p>
      <w:r>
        <w:t>Final decision score delta from human input: +0.0 points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