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65A"/>
          <w:sz w:val="36"/>
        </w:rPr>
        <w:t>CREDIT APPRAISAL MEMORANDUM</w:t>
      </w:r>
    </w:p>
    <w:p>
      <w:pPr>
        <w:jc w:val="center"/>
      </w:pPr>
      <w:r>
        <w:rPr>
          <w:b/>
        </w:rPr>
        <w:t>Intelli-Credit Demo Bank | Corporate &amp; Institutional Banking</w:t>
      </w:r>
    </w:p>
    <w:p>
      <w:pPr>
        <w:jc w:val="center"/>
      </w:pPr>
      <w:r>
        <w:rPr>
          <w:color w:val="780000"/>
        </w:rPr>
        <w:t>CONFIDENTIAL — CREDIT COMMITTEE</w:t>
      </w:r>
    </w:p>
    <w:p>
      <w:r>
        <w:t>Date: 2026-03-06 | Logo: [BANK LOGO PLACEHOLDER]</w:t>
      </w:r>
    </w:p>
    <w:p>
      <w:pPr>
        <w:pStyle w:val="Heading1"/>
      </w:pPr>
      <w:r>
        <w:t>Table of Contents</w:t>
      </w:r>
    </w:p>
    <w:p>
      <w:r>
        <w:t>SECTION 1: EXECUTIVE SUMMARY</w:t>
      </w:r>
    </w:p>
    <w:p>
      <w:r>
        <w:t>SECTION 2: BORROWER PROFILE</w:t>
      </w:r>
    </w:p>
    <w:p>
      <w:r>
        <w:t>SECTION 3: THE FIVE Cs ANALYSIS</w:t>
      </w:r>
    </w:p>
    <w:p>
      <w:r>
        <w:t>SECTION 4: FINANCIAL ANALYSIS</w:t>
      </w:r>
    </w:p>
    <w:p>
      <w:r>
        <w:t>SECTION 5: RISK ASSESSMENT</w:t>
      </w:r>
    </w:p>
    <w:p>
      <w:r>
        <w:t>SECTION 6: RESEARCH FINDINGS</w:t>
      </w:r>
    </w:p>
    <w:p>
      <w:r>
        <w:t>SECTION 7: RECOMMENDATION</w:t>
      </w:r>
    </w:p>
    <w:p>
      <w:r>
        <w:t>SECTION 8: RISK MITIGANTS &amp; CONDITIONS</w:t>
      </w:r>
    </w:p>
    <w:p>
      <w:r>
        <w:t>SECTION 9: ANNEXURES</w:t>
      </w:r>
    </w:p>
    <w:p>
      <w:r>
        <w:br w:type="page"/>
      </w:r>
    </w:p>
    <w:p>
      <w:pPr>
        <w:pStyle w:val="Heading1"/>
      </w:pPr>
      <w:r>
        <w:t>SECTION 1: EXECUTIVE SUMMARY</w:t>
      </w:r>
    </w:p>
    <w:p>
      <w:r>
        <w:t>Company: Spark Fallback Check Pvt Ltd | CIN: None | Sector: manufacturing</w:t>
      </w:r>
    </w:p>
    <w:p>
      <w:r>
        <w:t>Loan Request: ₹30.00 crore | Tenor: 36 months | Purpose: working_capital</w:t>
      </w:r>
    </w:p>
    <w:p>
      <w:r>
        <w:rPr>
          <w:b/>
        </w:rPr>
        <w:t>Recommendation: REJECT | Amount: ₹0.00 crore | Rate: -1.00% p.a.</w:t>
      </w:r>
    </w:p>
    <w:p>
      <w:pPr>
        <w:pStyle w:val="Heading1"/>
      </w:pPr>
      <w:r>
        <w:t>SECTION 2: BORROWER PROFILE</w:t>
      </w:r>
    </w:p>
    <w:p>
      <w:r>
        <w:t>Company history and business description: [Auto-generated summary].</w:t>
      </w:r>
    </w:p>
    <w:p>
      <w:r>
        <w:t>Promoter background and track record: [From research agent outputs].</w:t>
      </w:r>
    </w:p>
    <w:p>
      <w:r>
        <w:t>Group structure and related entities: [Pending detailed legal charting].</w:t>
      </w:r>
    </w:p>
    <w:p>
      <w:r>
        <w:t>Shareholding pattern: [Notified by borrower for Spark Fallback Check Pvt Ltd].</w:t>
      </w:r>
    </w:p>
    <w:p>
      <w:pPr>
        <w:pStyle w:val="Heading2"/>
      </w:pPr>
      <w:r>
        <w:t>Borrower Clarifications (Finance Officer Input)</w:t>
      </w:r>
    </w:p>
    <w:p>
      <w:r>
        <w:t>Primary respondent: Not provided by borrower.</w:t>
      </w:r>
    </w:p>
    <w:p>
      <w:r>
        <w:t>Business highlights: No additional borrower business highlights submitted.</w:t>
      </w:r>
    </w:p>
    <w:p>
      <w:r>
        <w:t>Borrower-declared risks: No borrower-declared risks submitted.</w:t>
      </w:r>
    </w:p>
    <w:p>
      <w:r>
        <w:t>Declared capacity utilization: 65.0%</w:t>
      </w:r>
    </w:p>
    <w:p>
      <w:pPr>
        <w:pStyle w:val="Heading1"/>
      </w:pPr>
      <w:r>
        <w:t>SECTION 3: THE FIVE Cs ANALYSIS</w:t>
      </w:r>
    </w:p>
    <w:p>
      <w:pPr>
        <w:pStyle w:val="Heading2"/>
      </w:pPr>
      <w:r>
        <w:t>3.1 Character</w:t>
      </w:r>
    </w:p>
    <w:p>
      <w:r>
        <w:t>Score: 10.0/10 | Risk Level: LOW</w:t>
      </w:r>
    </w:p>
    <w:p>
      <w:pPr>
        <w:pStyle w:val="Heading2"/>
      </w:pPr>
      <w:r>
        <w:t>3.2 Capacity</w:t>
      </w:r>
    </w:p>
    <w:p>
      <w:r>
        <w:t>Score: 5.25/10 | Risk Level: MEDIUM</w:t>
      </w:r>
    </w:p>
    <w:p>
      <w:pPr>
        <w:pStyle w:val="Heading2"/>
      </w:pPr>
      <w:r>
        <w:t>3.3 Capital</w:t>
      </w:r>
    </w:p>
    <w:p>
      <w:r>
        <w:t>Score: 8.9/10 | Risk Level: LOW</w:t>
      </w:r>
    </w:p>
    <w:p>
      <w:pPr>
        <w:pStyle w:val="Heading2"/>
      </w:pPr>
      <w:r>
        <w:t>3.4 Collateral</w:t>
      </w:r>
    </w:p>
    <w:p>
      <w:r>
        <w:t>Score: 9.15/10 | Risk Level: LOW</w:t>
      </w:r>
    </w:p>
    <w:p>
      <w:pPr>
        <w:pStyle w:val="Heading2"/>
      </w:pPr>
      <w:r>
        <w:t>3.5 Conditions</w:t>
      </w:r>
    </w:p>
    <w:p>
      <w:r>
        <w:t>Score: 8.0/10 | Risk Level: LOW</w:t>
      </w:r>
    </w:p>
    <w:p>
      <w:pPr>
        <w:pStyle w:val="Heading1"/>
      </w:pPr>
      <w:r>
        <w:t>SECTION 4: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0.0</w:t>
            </w:r>
          </w:p>
        </w:tc>
      </w:tr>
      <w:tr>
        <w:tc>
          <w:tcPr>
            <w:tcW w:type="dxa" w:w="4320"/>
          </w:tcPr>
          <w:p>
            <w:r>
              <w:t>Debt/Equity</w:t>
            </w:r>
          </w:p>
        </w:tc>
        <w:tc>
          <w:tcPr>
            <w:tcW w:type="dxa" w:w="4320"/>
          </w:tcPr>
          <w:p>
            <w:r>
              <w:t>1.5</w:t>
            </w:r>
          </w:p>
        </w:tc>
      </w:tr>
      <w:tr>
        <w:tc>
          <w:tcPr>
            <w:tcW w:type="dxa" w:w="4320"/>
          </w:tcPr>
          <w:p>
            <w:r>
              <w:t>Current Ratio</w:t>
            </w:r>
          </w:p>
        </w:tc>
        <w:tc>
          <w:tcPr>
            <w:tcW w:type="dxa" w:w="4320"/>
          </w:tcPr>
          <w:p>
            <w:r>
              <w:t>1.4</w:t>
            </w:r>
          </w:p>
        </w:tc>
      </w:tr>
      <w:tr>
        <w:tc>
          <w:tcPr>
            <w:tcW w:type="dxa" w:w="4320"/>
          </w:tcPr>
          <w:p>
            <w:r>
              <w:t>GST-Banking Ratio</w:t>
            </w:r>
          </w:p>
        </w:tc>
        <w:tc>
          <w:tcPr>
            <w:tcW w:type="dxa" w:w="4320"/>
          </w:tcPr>
          <w:p>
            <w:r>
              <w:t>1.0</w:t>
            </w:r>
          </w:p>
        </w:tc>
      </w:tr>
      <w:tr>
        <w:tc>
          <w:tcPr>
            <w:tcW w:type="dxa" w:w="4320"/>
          </w:tcPr>
          <w:p>
            <w:r>
              <w:t>Consistency Score</w:t>
            </w:r>
          </w:p>
        </w:tc>
        <w:tc>
          <w:tcPr>
            <w:tcW w:type="dxa" w:w="4320"/>
          </w:tcPr>
          <w:p>
            <w:r>
              <w:t>92.0</w:t>
            </w:r>
          </w:p>
        </w:tc>
      </w:tr>
    </w:tbl>
    <w:p>
      <w:pPr>
        <w:pStyle w:val="Heading1"/>
      </w:pPr>
      <w:r>
        <w:t>SECTION 5: RISK ASSESSMENT</w:t>
      </w:r>
    </w:p>
    <w:p>
      <w:r>
        <w:t>Consolidated Risk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Has Nclt Proceedings weakens credit quality (impact -1.335).</w:t>
            </w:r>
          </w:p>
        </w:tc>
        <w:tc>
          <w:tcPr>
            <w:tcW w:type="dxa" w:w="2880"/>
          </w:tcPr>
          <w:p>
            <w:r>
              <w:t>Medium/High</w:t>
            </w:r>
          </w:p>
        </w:tc>
        <w:tc>
          <w:tcPr>
            <w:tcW w:type="dxa" w:w="2880"/>
          </w:tcPr>
          <w:p>
            <w:r>
              <w:t>Quarterly covenant tracking and early warning triggers.</w:t>
            </w:r>
          </w:p>
        </w:tc>
      </w:tr>
      <w:tr>
        <w:tc>
          <w:tcPr>
            <w:tcW w:type="dxa" w:w="2880"/>
          </w:tcPr>
          <w:p>
            <w:r>
              <w:t>Has Promoter Fraud News weakens credit quality (impact -0.773).</w:t>
            </w:r>
          </w:p>
        </w:tc>
        <w:tc>
          <w:tcPr>
            <w:tcW w:type="dxa" w:w="2880"/>
          </w:tcPr>
          <w:p>
            <w:r>
              <w:t>Medium/High</w:t>
            </w:r>
          </w:p>
        </w:tc>
        <w:tc>
          <w:tcPr>
            <w:tcW w:type="dxa" w:w="2880"/>
          </w:tcPr>
          <w:p>
            <w:r>
              <w:t>Quarterly covenant tracking and early warning triggers.</w:t>
            </w:r>
          </w:p>
        </w:tc>
      </w:tr>
      <w:tr>
        <w:tc>
          <w:tcPr>
            <w:tcW w:type="dxa" w:w="2880"/>
          </w:tcPr>
          <w:p>
            <w:r>
              <w:t>Mca Filing Compliance Score weakens credit quality (impact -0.563).</w:t>
            </w:r>
          </w:p>
        </w:tc>
        <w:tc>
          <w:tcPr>
            <w:tcW w:type="dxa" w:w="2880"/>
          </w:tcPr>
          <w:p>
            <w:r>
              <w:t>Medium/High</w:t>
            </w:r>
          </w:p>
        </w:tc>
        <w:tc>
          <w:tcPr>
            <w:tcW w:type="dxa" w:w="2880"/>
          </w:tcPr>
          <w:p>
            <w:r>
              <w:t>Quarterly covenant tracking and early warning triggers.</w:t>
            </w:r>
          </w:p>
        </w:tc>
      </w:tr>
    </w:tbl>
    <w:p>
      <w:r>
        <w:t>Overall data consistency score: 92.0</w:t>
      </w:r>
    </w:p>
    <w:p>
      <w:pPr>
        <w:pStyle w:val="Heading1"/>
      </w:pPr>
      <w:r>
        <w:t>SECTION 6: RESEARCH FINDINGS</w:t>
      </w:r>
    </w:p>
    <w:p>
      <w:r>
        <w:t>## Section 6 — Research Findings</w:t>
        <w:br/>
        <w:br/>
        <w:t>This section summarises the key findings from the external due diligence conducted on Spark Fallback Check Pvt Ltd, complementing the financial and business analysis. Our comprehensive review of public records, including the Ministry of Corporate</w:t>
      </w:r>
    </w:p>
    <w:p/>
    <w:p>
      <w:pPr>
        <w:pStyle w:val="Heading2"/>
      </w:pPr>
      <w:r>
        <w:t>Source Highlights</w:t>
      </w:r>
    </w:p>
    <w:p>
      <w:r>
        <w:t>[Severity.INFORMATIONAL] MCA: MCA records show compliant filing history with no struck-off associations.</w:t>
      </w:r>
    </w:p>
    <w:p>
      <w:r>
        <w:t>[Severity.INFORMATIONAL] eCourts (Mock): No material litigation found in district and high court records.</w:t>
      </w:r>
    </w:p>
    <w:p>
      <w:pPr>
        <w:pStyle w:val="Heading1"/>
      </w:pPr>
      <w:r>
        <w:t>SECTION 7: RECOMMENDATION</w:t>
      </w:r>
    </w:p>
    <w:p>
      <w:r>
        <w:t>Final credit score: 450.0/900</w:t>
      </w:r>
    </w:p>
    <w:p>
      <w:r>
        <w:t>Decision: REJECT</w:t>
      </w:r>
    </w:p>
    <w:p>
      <w:r>
        <w:t>Recommended loan amount: ₹0.00 crore</w:t>
      </w:r>
    </w:p>
    <w:p>
      <w:r>
        <w:t>Recommended interest rate: -1.00% p.a.</w:t>
      </w:r>
    </w:p>
    <w:p>
      <w:r>
        <w:t>Tenor: 36 months</w:t>
      </w:r>
    </w:p>
    <w:p>
      <w:r>
        <w:t>Decision validity window: 30 days (valid up to 2026-04-05)</w:t>
      </w:r>
    </w:p>
    <w:p>
      <w:r>
        <w:t>AI Explainability Note:</w:t>
      </w:r>
    </w:p>
    <w:p>
      <w:r>
        <w:t>The recommendation balances cashflow resilience against detected governance and compliance risks. DSCR is observed at 0.00x, GST ITC gap at 0.00%, and factory utilization at 65.0%. Positive drivers include: Has Going Concern Doubt supports credit quality (impact +2.232).; Dscr supports credit quality (impact +1.478).; Average Bank Balance To Limit Ratio supports credit quality (impact +0.509). Key constraints include: Has Nclt Proceedings weakens credit quality (impact -1.335).; Has Promoter Fraud News weakens credit quality (impact -0.773).; Mca Filing Compliance Score weakens credit quality (impact -0.563). Final recommendation therefore applies risk-adjusted exposure and pricing.</w:t>
      </w:r>
    </w:p>
    <w:p>
      <w:pPr>
        <w:pStyle w:val="Heading1"/>
      </w:pPr>
      <w:r>
        <w:t>SECTION 8: RISK MITIGANTS &amp; CONDITIONS</w:t>
      </w:r>
    </w:p>
    <w:p>
      <w:r>
        <w:t>- Monthly stock and receivable statements</w:t>
      </w:r>
    </w:p>
    <w:p>
      <w:r>
        <w:t>- Quarterly GST-banking reconciliation</w:t>
      </w:r>
    </w:p>
    <w:p>
      <w:r>
        <w:t>- DSCR floor covenant at 1.2x</w:t>
      </w:r>
    </w:p>
    <w:p>
      <w:pPr>
        <w:pStyle w:val="Heading1"/>
      </w:pPr>
      <w:r>
        <w:t>SECTION 9: ANNEXURES</w:t>
      </w:r>
    </w:p>
    <w:p>
      <w:r>
        <w:t>Annexure A: Raw financial data tables</w:t>
      </w:r>
    </w:p>
    <w:p>
      <w:r>
        <w:t>Annexure B: Research source URLs</w:t>
      </w:r>
    </w:p>
    <w:p>
      <w:r>
        <w:t>- https://www.mca.gov.in/content/mca/global/en/mca/master-data.html</w:t>
      </w:r>
    </w:p>
    <w:p>
      <w:r>
        <w:t>- https://ecourts.example/no-major-cases</w:t>
      </w:r>
    </w:p>
    <w:p>
      <w:r>
        <w:t>Annexure C: SHAP explanation chart (placeholder)</w:t>
      </w:r>
    </w:p>
    <w:p>
      <w:r>
        <w:t>SHAP top factors: has_going_concern_doubt, dscr, has_nclt_proceedings, has_promoter_fraud_news, mca_filing_compliance_score, average_bank_balance_to_limit_ratio, gst_return_filing_consistency, ebitda_margin, itr_gst_consistency_score, interest_coverage_ratio</w:t>
      </w:r>
    </w:p>
    <w:p>
      <w:r>
        <w:t>Annexure D: Glossary of Indian credit terms</w:t>
      </w:r>
    </w:p>
    <w:p>
      <w:r>
        <w:t>Annexure E: Decision Traceability and Governance</w:t>
      </w:r>
    </w:p>
    <w:p>
      <w:r>
        <w:t>CAM generation date: 2026-03-06</w:t>
      </w:r>
    </w:p>
    <w:p>
      <w:r>
        <w:t>Model stack: Rules + ML calibration + explainability narrative</w:t>
      </w:r>
    </w:p>
    <w:p>
      <w:r>
        <w:t>Total web-research findings considered: 2</w:t>
      </w:r>
    </w:p>
    <w:p>
      <w:r>
        <w:t>Human-in-the-loop adjustment from due diligence: +0.0</w:t>
      </w:r>
    </w:p>
    <w:p>
      <w:r>
        <w:t>Final decision score delta from human input: +0.0 points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