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2026-03-03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Vardhman Agri Processing Pvt. Ltd. | CIN: U01111TG2014PTC123456 | Sector: agri_processing</w:t>
      </w:r>
    </w:p>
    <w:p>
      <w:r>
        <w:t>Loan Request: ₹30.00 crore | Tenor: 36 months | Purpose: working_capital</w:t>
      </w:r>
    </w:p>
    <w:p>
      <w:r>
        <w:rPr>
          <w:b/>
        </w:rPr>
        <w:t>Recommendation: REJECT | Amount: ₹0.00 crore | Rate: -1.00%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Vardhman Agri Processing Pvt. Ltd.].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6.0/10 | Risk Level: MEDIUM</w:t>
      </w:r>
    </w:p>
    <w:p>
      <w:pPr>
        <w:pStyle w:val="Heading2"/>
      </w:pPr>
      <w:r>
        <w:t>3.2 Capacity</w:t>
      </w:r>
    </w:p>
    <w:p>
      <w:r>
        <w:t>Score: 9.42/10 | Risk Level: LOW</w:t>
      </w:r>
    </w:p>
    <w:p>
      <w:pPr>
        <w:pStyle w:val="Heading2"/>
      </w:pPr>
      <w:r>
        <w:t>3.3 Capital</w:t>
      </w:r>
    </w:p>
    <w:p>
      <w:r>
        <w:t>Score: 9.05/10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1.3888888888888888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4012041.6895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39.0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</w:tbl>
    <w:p>
      <w:r>
        <w:t>Overall data consistency score: 39.0</w:t>
      </w:r>
    </w:p>
    <w:p>
      <w:pPr>
        <w:pStyle w:val="Heading1"/>
      </w:pPr>
      <w:r>
        <w:t>SECTION 6: RESEARCH FINDINGS</w:t>
      </w:r>
    </w:p>
    <w:p>
      <w:r>
        <w:t>[Severity.INFORMATIONAL] MCA (Mock): MCA records show compliant filing history with no struck-off associations.</w:t>
      </w:r>
    </w:p>
    <w:p>
      <w:r>
        <w:t>[Severity.MEDIUM] eCourts (Mock): One commercial recovery suit filed by a packaging vendor; matter under mediation.</w:t>
      </w:r>
    </w:p>
    <w:p>
      <w:r>
        <w:t>[Severity.LOW] Sector Pulse (Mock): Agri Processing sector expected to remain stable with moderate margin pressure due to logistics costs.</w:t>
      </w:r>
    </w:p>
    <w:p>
      <w:r>
        <w:t>[Severity.MEDIUM] Business Chronicle (Mock): One promoter entity was issued an income-tax query notice; no prosecution reported.</w:t>
      </w:r>
    </w:p>
    <w:p>
      <w:r>
        <w:t>[Severity.INFORMATIONAL] Economic Times (Mock): Promoter received an MSME export award in 2024.</w:t>
      </w:r>
    </w:p>
    <w:p>
      <w:r>
        <w:t>[Severity.LOW] Regulatory Intel (Mock): No direct RBI/SEBI enforcement actions found in sampled intelligence.</w:t>
      </w:r>
    </w:p>
    <w:p>
      <w:pPr>
        <w:pStyle w:val="Heading1"/>
      </w:pPr>
      <w:r>
        <w:t>SECTION 7: RECOMMENDATION</w:t>
      </w:r>
    </w:p>
    <w:p>
      <w:r>
        <w:t>Final credit score: 450.0/900</w:t>
      </w:r>
    </w:p>
    <w:p>
      <w:r>
        <w:t>Decision: REJECT</w:t>
      </w:r>
    </w:p>
    <w:p>
      <w:r>
        <w:t>Recommended loan amount: ₹0.00 crore</w:t>
      </w:r>
    </w:p>
    <w:p>
      <w:r>
        <w:t>Recommended interest rate: -1.00% p.a.</w:t>
      </w:r>
    </w:p>
    <w:p>
      <w:r>
        <w:t>Tenor: 36 months</w:t>
      </w:r>
    </w:p>
    <w:p>
      <w:r>
        <w:t>AI Explainability Note:</w:t>
      </w:r>
    </w:p>
    <w:p>
      <w:r>
        <w:t>The recommendation balances cashflow resilience against detected governance and compliance risks. DSCR is observed at 1.39x, GST ITC gap at 0.00%, and factory utilization at 65.0%. Positive drivers include: Gst Banking Ratio supports credit quality (impact +40120.417).; Average Bank Balance To Limit Ratio supports credit quality (impact +13542.849).; Cibil Commercial Score supports credit quality (impact +7.420). Key constraints include: no major negatives identified.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https://ecourts.example/case/2024-cs-102</w:t>
      </w:r>
    </w:p>
    <w:p>
      <w:r>
        <w:t>- https://news.example/sector-outlook-agri-processing-2026</w:t>
      </w:r>
    </w:p>
    <w:p>
      <w:r>
        <w:t>- https://news.example/vardhman-promoter-tax-query</w:t>
      </w:r>
    </w:p>
    <w:p>
      <w:r>
        <w:t>- https://news.example/promoter-award</w:t>
      </w:r>
    </w:p>
    <w:p>
      <w:r>
        <w:t>- https://www.rbi.org.in/</w:t>
      </w:r>
    </w:p>
    <w:p>
      <w:r>
        <w:t>Annexure C: SHAP explanation chart (placeholder)</w:t>
      </w:r>
    </w:p>
    <w:p>
      <w:r>
        <w:t>SHAP top factors: gst_banking_ratio, average_bank_balance_to_limit_ratio, cibil_commercial_score, itr_gst_consistency_score, mca_filing_compliance_score, gst_return_filing_consistency, factory_capacity_utilization, ebitda_margin, collateral_type_score, management_integrity_score</w:t>
      </w:r>
    </w:p>
    <w:p>
      <w:r>
        <w:t>Annexure D: Glossary of Indian credit terms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