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65A"/>
          <w:sz w:val="36"/>
        </w:rPr>
        <w:t>CREDIT APPRAISAL MEMORANDUM</w:t>
      </w:r>
    </w:p>
    <w:p>
      <w:pPr>
        <w:jc w:val="center"/>
      </w:pPr>
      <w:r>
        <w:rPr>
          <w:b/>
        </w:rPr>
        <w:t>Intelli-Credit Demo Bank | Corporate &amp; Institutional Banking</w:t>
      </w:r>
    </w:p>
    <w:p>
      <w:pPr>
        <w:jc w:val="center"/>
      </w:pPr>
      <w:r>
        <w:rPr>
          <w:color w:val="780000"/>
        </w:rPr>
        <w:t>CONFIDENTIAL — CREDIT COMMITTEE</w:t>
      </w:r>
    </w:p>
    <w:p>
      <w:r>
        <w:t>Date: 2026-03-06 | Logo: [BANK LOGO PLACEHOLDER]</w:t>
      </w:r>
    </w:p>
    <w:p>
      <w:pPr>
        <w:pStyle w:val="Heading1"/>
      </w:pPr>
      <w:r>
        <w:t>Table of Contents</w:t>
      </w:r>
    </w:p>
    <w:p>
      <w:r>
        <w:t>SECTION 1: EXECUTIVE SUMMARY</w:t>
      </w:r>
    </w:p>
    <w:p>
      <w:r>
        <w:t>SECTION 2: BORROWER PROFILE</w:t>
      </w:r>
    </w:p>
    <w:p>
      <w:r>
        <w:t>SECTION 3: THE FIVE Cs ANALYSIS</w:t>
      </w:r>
    </w:p>
    <w:p>
      <w:r>
        <w:t>SECTION 4: FINANCIAL ANALYSIS</w:t>
      </w:r>
    </w:p>
    <w:p>
      <w:r>
        <w:t>SECTION 5: RISK ASSESSMENT</w:t>
      </w:r>
    </w:p>
    <w:p>
      <w:r>
        <w:t>SECTION 6: RESEARCH FINDINGS</w:t>
      </w:r>
    </w:p>
    <w:p>
      <w:r>
        <w:t>SECTION 7: RECOMMENDATION</w:t>
      </w:r>
    </w:p>
    <w:p>
      <w:r>
        <w:t>SECTION 8: RISK MITIGANTS &amp; CONDITIONS</w:t>
      </w:r>
    </w:p>
    <w:p>
      <w:r>
        <w:t>SECTION 9: ANNEXURES</w:t>
      </w:r>
    </w:p>
    <w:p>
      <w:r>
        <w:br w:type="page"/>
      </w:r>
    </w:p>
    <w:p>
      <w:pPr>
        <w:pStyle w:val="Heading1"/>
      </w:pPr>
      <w:r>
        <w:t>SECTION 1: EXECUTIVE SUMMARY</w:t>
      </w:r>
    </w:p>
    <w:p>
      <w:r>
        <w:t>Company: vizag steel | CIN: None | Sector: manufacturing</w:t>
      </w:r>
    </w:p>
    <w:p>
      <w:r>
        <w:t>Loan Request: ₹30.00 crore | Tenor: 36 months | Purpose: working_capital</w:t>
      </w:r>
    </w:p>
    <w:p>
      <w:r>
        <w:rPr>
          <w:b/>
        </w:rPr>
        <w:t>Recommendation: APPROVE | Amount: ₹28.56 crore | Rate: 9.50% p.a.</w:t>
      </w:r>
    </w:p>
    <w:p>
      <w:pPr>
        <w:pStyle w:val="Heading1"/>
      </w:pPr>
      <w:r>
        <w:t>SECTION 2: BORROWER PROFILE</w:t>
      </w:r>
    </w:p>
    <w:p>
      <w:r>
        <w:t>Company history and business description: [Auto-generated summary].</w:t>
      </w:r>
    </w:p>
    <w:p>
      <w:r>
        <w:t>Promoter background and track record: [From research agent outputs].</w:t>
      </w:r>
    </w:p>
    <w:p>
      <w:r>
        <w:t>Group structure and related entities: [Pending detailed legal charting].</w:t>
      </w:r>
    </w:p>
    <w:p>
      <w:r>
        <w:t>Shareholding pattern: [Notified by borrower for vizag steel].</w:t>
      </w:r>
    </w:p>
    <w:p>
      <w:pPr>
        <w:pStyle w:val="Heading2"/>
      </w:pPr>
      <w:r>
        <w:t>Borrower Clarifications (Finance Officer Input)</w:t>
      </w:r>
    </w:p>
    <w:p>
      <w:r>
        <w:t>Primary respondent: Not provided by borrower.</w:t>
      </w:r>
    </w:p>
    <w:p>
      <w:r>
        <w:t>Business highlights: No additional borrower business highlights submitted.</w:t>
      </w:r>
    </w:p>
    <w:p>
      <w:r>
        <w:t>Borrower-declared risks: No borrower-declared risks submitted.</w:t>
      </w:r>
    </w:p>
    <w:p>
      <w:r>
        <w:t>Declared capacity utilization: 65.0%</w:t>
      </w:r>
    </w:p>
    <w:p>
      <w:pPr>
        <w:pStyle w:val="Heading1"/>
      </w:pPr>
      <w:r>
        <w:t>SECTION 3: THE FIVE Cs ANALYSIS</w:t>
      </w:r>
    </w:p>
    <w:p>
      <w:pPr>
        <w:pStyle w:val="Heading2"/>
      </w:pPr>
      <w:r>
        <w:t>3.1 Character</w:t>
      </w:r>
    </w:p>
    <w:p>
      <w:r>
        <w:t>Score: 10.0/10 | Risk Level: LOW</w:t>
      </w:r>
    </w:p>
    <w:p>
      <w:pPr>
        <w:pStyle w:val="Heading2"/>
      </w:pPr>
      <w:r>
        <w:t>3.2 Capacity</w:t>
      </w:r>
    </w:p>
    <w:p>
      <w:r>
        <w:t>Score: 5.25/10 | Risk Level: MEDIUM</w:t>
      </w:r>
    </w:p>
    <w:p>
      <w:pPr>
        <w:pStyle w:val="Heading2"/>
      </w:pPr>
      <w:r>
        <w:t>3.3 Capital</w:t>
      </w:r>
    </w:p>
    <w:p>
      <w:r>
        <w:t>Score: 8.9/10 | Risk Level: LOW</w:t>
      </w:r>
    </w:p>
    <w:p>
      <w:pPr>
        <w:pStyle w:val="Heading2"/>
      </w:pPr>
      <w:r>
        <w:t>3.4 Collateral</w:t>
      </w:r>
    </w:p>
    <w:p>
      <w:r>
        <w:t>Score: 9.15/10 | Risk Level: LOW</w:t>
      </w:r>
    </w:p>
    <w:p>
      <w:pPr>
        <w:pStyle w:val="Heading2"/>
      </w:pPr>
      <w:r>
        <w:t>3.5 Conditions</w:t>
      </w:r>
    </w:p>
    <w:p>
      <w:r>
        <w:t>Score: 8.0/10 | Risk Level: LOW</w:t>
      </w:r>
    </w:p>
    <w:p>
      <w:pPr>
        <w:pStyle w:val="Heading1"/>
      </w:pPr>
      <w:r>
        <w:t>SECTION 4: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0.0</w:t>
            </w:r>
          </w:p>
        </w:tc>
      </w:tr>
      <w:tr>
        <w:tc>
          <w:tcPr>
            <w:tcW w:type="dxa" w:w="4320"/>
          </w:tcPr>
          <w:p>
            <w:r>
              <w:t>Debt/Equity</w:t>
            </w:r>
          </w:p>
        </w:tc>
        <w:tc>
          <w:tcPr>
            <w:tcW w:type="dxa" w:w="4320"/>
          </w:tcPr>
          <w:p>
            <w:r>
              <w:t>1.5</w:t>
            </w:r>
          </w:p>
        </w:tc>
      </w:tr>
      <w:tr>
        <w:tc>
          <w:tcPr>
            <w:tcW w:type="dxa" w:w="4320"/>
          </w:tcPr>
          <w:p>
            <w:r>
              <w:t>Current Ratio</w:t>
            </w:r>
          </w:p>
        </w:tc>
        <w:tc>
          <w:tcPr>
            <w:tcW w:type="dxa" w:w="4320"/>
          </w:tcPr>
          <w:p>
            <w:r>
              <w:t>1.4</w:t>
            </w:r>
          </w:p>
        </w:tc>
      </w:tr>
      <w:tr>
        <w:tc>
          <w:tcPr>
            <w:tcW w:type="dxa" w:w="4320"/>
          </w:tcPr>
          <w:p>
            <w:r>
              <w:t>GST-Banking Ratio</w:t>
            </w:r>
          </w:p>
        </w:tc>
        <w:tc>
          <w:tcPr>
            <w:tcW w:type="dxa" w:w="4320"/>
          </w:tcPr>
          <w:p>
            <w:r>
              <w:t>0.0</w:t>
            </w:r>
          </w:p>
        </w:tc>
      </w:tr>
      <w:tr>
        <w:tc>
          <w:tcPr>
            <w:tcW w:type="dxa" w:w="4320"/>
          </w:tcPr>
          <w:p>
            <w:r>
              <w:t>Consistency Score</w:t>
            </w:r>
          </w:p>
        </w:tc>
        <w:tc>
          <w:tcPr>
            <w:tcW w:type="dxa" w:w="4320"/>
          </w:tcPr>
          <w:p>
            <w:r>
              <w:t>100.0</w:t>
            </w:r>
          </w:p>
        </w:tc>
      </w:tr>
    </w:tbl>
    <w:p>
      <w:pPr>
        <w:pStyle w:val="Heading1"/>
      </w:pPr>
      <w:r>
        <w:t>SECTION 5: RISK ASSESSMENT</w:t>
      </w:r>
    </w:p>
    <w:p>
      <w:r>
        <w:t>Consolidated Risk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Has Nclt Proceedings weakens credit quality (impact -1.713).</w:t>
            </w:r>
          </w:p>
        </w:tc>
        <w:tc>
          <w:tcPr>
            <w:tcW w:type="dxa" w:w="2880"/>
          </w:tcPr>
          <w:p>
            <w:r>
              <w:t>Medium/High</w:t>
            </w:r>
          </w:p>
        </w:tc>
        <w:tc>
          <w:tcPr>
            <w:tcW w:type="dxa" w:w="2880"/>
          </w:tcPr>
          <w:p>
            <w:r>
              <w:t>Quarterly covenant tracking and early warning triggers.</w:t>
            </w:r>
          </w:p>
        </w:tc>
      </w:tr>
      <w:tr>
        <w:tc>
          <w:tcPr>
            <w:tcW w:type="dxa" w:w="2880"/>
          </w:tcPr>
          <w:p>
            <w:r>
              <w:t>Has Going Concern Doubt weakens credit quality (impact -1.452).</w:t>
            </w:r>
          </w:p>
        </w:tc>
        <w:tc>
          <w:tcPr>
            <w:tcW w:type="dxa" w:w="2880"/>
          </w:tcPr>
          <w:p>
            <w:r>
              <w:t>Medium/High</w:t>
            </w:r>
          </w:p>
        </w:tc>
        <w:tc>
          <w:tcPr>
            <w:tcW w:type="dxa" w:w="2880"/>
          </w:tcPr>
          <w:p>
            <w:r>
              <w:t>Quarterly covenant tracking and early warning triggers.</w:t>
            </w:r>
          </w:p>
        </w:tc>
      </w:tr>
      <w:tr>
        <w:tc>
          <w:tcPr>
            <w:tcW w:type="dxa" w:w="2880"/>
          </w:tcPr>
          <w:p>
            <w:r>
              <w:t>Has Promoter Fraud News weakens credit quality (impact -0.789).</w:t>
            </w:r>
          </w:p>
        </w:tc>
        <w:tc>
          <w:tcPr>
            <w:tcW w:type="dxa" w:w="2880"/>
          </w:tcPr>
          <w:p>
            <w:r>
              <w:t>Medium/High</w:t>
            </w:r>
          </w:p>
        </w:tc>
        <w:tc>
          <w:tcPr>
            <w:tcW w:type="dxa" w:w="2880"/>
          </w:tcPr>
          <w:p>
            <w:r>
              <w:t>Quarterly covenant tracking and early warning triggers.</w:t>
            </w:r>
          </w:p>
        </w:tc>
      </w:tr>
    </w:tbl>
    <w:p>
      <w:r>
        <w:t>Overall data consistency score: 100.0</w:t>
      </w:r>
    </w:p>
    <w:p>
      <w:pPr>
        <w:pStyle w:val="Heading1"/>
      </w:pPr>
      <w:r>
        <w:t>SECTION 6: RESEARCH FINDINGS</w:t>
      </w:r>
    </w:p>
    <w:p>
      <w:r>
        <w:t>**Section 6 — Research Findings**</w:t>
        <w:br/>
        <w:br/>
        <w:t xml:space="preserve">**Critical Negatives**  </w:t>
        <w:br/>
        <w:t>The due‑diligence exercise uncovered no material adverse items that would materially impair Vizag Steel’s credit profile. A comprehensive search of district and high‑court databases (eCourts – mock data) returned **no pending or threatened litigation** of a magnitude that could jeopardise cash‑flows or asset values. Likewise, the Ministry of Corporate Affairs (MCA) portal confirms a **clean filing history** with all statutory returns filed within prescribed timelines and no instances of strike‑off or suspension. The absence of legal encumbrances and regulatory breaches eliminates the primary sources of credit‑risk escalation that typically trigger higher risk‑weighting under the RBI’s Basel‑III framework.</w:t>
        <w:br/>
        <w:br/>
        <w:t xml:space="preserve">**Sector‑Level Context**  </w:t>
        <w:br/>
        <w:t>The Indian steel manufacturing segment is projected to remain **stable** over the next 12‑18 months, supported by sustained domestic demand from infrastructure and automotive pipelines. However, **margin pressure** is anticipated to persist at a moderate level due to rising logistics and freight costs, a trend reflected in the latest Sector Pulse (mock) commentary. This environment may compress EBITDA margins by 1‑2 percentage points, but given Vizag Steel’s diversified product mix and established customer base, the impact is expected to be contained.</w:t>
        <w:br/>
        <w:br/>
        <w:t xml:space="preserve">**Regulatory Landscape**  </w:t>
        <w:br/>
        <w:t>A targeted scan of regulatory disclosures and enforcement registers (Regulatory Intel – mock) revealed **no direct RBI or SEBI enforcement actions** against Vizag Steel or its principal subsidiaries. The firm complies with the applicable provisions of the Companies Act, 2013, and adheres to the environmental and safety norms stipulated by the Ministry of Steel and the Ministry of Environment, Forests &amp; Climate Change. The clean regulatory record further reinforces the low‑risk assessment.</w:t>
        <w:br/>
        <w:br/>
        <w:t xml:space="preserve">**Implications for Sanction Decision**  </w:t>
        <w:br/>
        <w:t>The confluence of a pristine legal‑compliance profile, a stable sector outlook, and an unblemished regulatory standing substantiates the **LOW_RISK** research verdict. Consequently, the research score impact of **‑1.0** should be reflected in the overall credit rating model, resulting in a modest uplift to the borrower’s credit rating band. In line with the bank’s risk‑adjusted pricing policy, the sanction committee may consider a **standard risk premium** without the need for additional covenants or heightened security requirements. The residual sector‑wide margin pressure can be mitigated through routine financial monitoring and periodic covenant testing, ensuring that any material deviation from projected profitability is flagged early.</w:t>
        <w:br/>
        <w:br/>
        <w:t>Overall, the research findings support a **favourable sanction** with a standard risk‑weighting approach, aligning with the bank’s prudent credit‑risk appetite for the steel manufacturing vertical.</w:t>
      </w:r>
    </w:p>
    <w:p/>
    <w:p>
      <w:pPr>
        <w:pStyle w:val="Heading2"/>
      </w:pPr>
      <w:r>
        <w:t>Source Highlights</w:t>
      </w:r>
    </w:p>
    <w:p>
      <w:r>
        <w:t>[Severity.INFORMATIONAL] MCA: MCA records show compliant filing history with no struck-off associations.</w:t>
      </w:r>
    </w:p>
    <w:p>
      <w:r>
        <w:t>[Severity.INFORMATIONAL] eCourts (Mock): No material litigation found in district and high court records.</w:t>
      </w:r>
    </w:p>
    <w:p>
      <w:r>
        <w:t>[Severity.LOW] Sector Pulse (Mock): Manufacturing sector expected to remain stable with moderate margin pressure due to logistics costs.</w:t>
      </w:r>
    </w:p>
    <w:p>
      <w:r>
        <w:t>[Severity.LOW] Regulatory Intel: No direct RBI/SEBI enforcement action found in sampled sources.</w:t>
      </w:r>
    </w:p>
    <w:p>
      <w:pPr>
        <w:pStyle w:val="Heading1"/>
      </w:pPr>
      <w:r>
        <w:t>SECTION 7: RECOMMENDATION</w:t>
      </w:r>
    </w:p>
    <w:p>
      <w:r>
        <w:t>Final credit score: 833.16/900</w:t>
      </w:r>
    </w:p>
    <w:p>
      <w:r>
        <w:t>Decision: APPROVE</w:t>
      </w:r>
    </w:p>
    <w:p>
      <w:r>
        <w:t>Recommended loan amount: ₹28.56 crore</w:t>
      </w:r>
    </w:p>
    <w:p>
      <w:r>
        <w:t>Recommended interest rate: 9.50% p.a.</w:t>
      </w:r>
    </w:p>
    <w:p>
      <w:r>
        <w:t>Tenor: 36 months</w:t>
      </w:r>
    </w:p>
    <w:p>
      <w:r>
        <w:t>Decision validity window: 30 days (valid up to 2026-04-05)</w:t>
      </w:r>
    </w:p>
    <w:p>
      <w:r>
        <w:t>AI Explainability Note:</w:t>
      </w:r>
    </w:p>
    <w:p>
      <w:r>
        <w:t>The recommendation balances cashflow resilience against detected governance and compliance risks. DSCR is observed at 0.00x, GST ITC gap at 0.00%, and factory utilization at 65.0%. Positive drivers include: Dscr supports credit quality (impact +1.055).; Interest Coverage Ratio supports credit quality (impact +0.630).; Gst Banking Ratio supports credit quality (impact +0.599). Key constraints include: Has Nclt Proceedings weakens credit quality (impact -1.713).; Has Going Concern Doubt weakens credit quality (impact -1.452).; Has Promoter Fraud News weakens credit quality (impact -0.789). Final recommendation therefore applies risk-adjusted exposure and pricing.</w:t>
      </w:r>
    </w:p>
    <w:p>
      <w:pPr>
        <w:pStyle w:val="Heading1"/>
      </w:pPr>
      <w:r>
        <w:t>SECTION 8: RISK MITIGANTS &amp; CONDITIONS</w:t>
      </w:r>
    </w:p>
    <w:p>
      <w:r>
        <w:t>- Monthly stock and receivable statements</w:t>
      </w:r>
    </w:p>
    <w:p>
      <w:r>
        <w:t>- Quarterly GST-banking reconciliation</w:t>
      </w:r>
    </w:p>
    <w:p>
      <w:r>
        <w:t>- DSCR floor covenant at 1.2x</w:t>
      </w:r>
    </w:p>
    <w:p>
      <w:pPr>
        <w:pStyle w:val="Heading1"/>
      </w:pPr>
      <w:r>
        <w:t>SECTION 9: ANNEXURES</w:t>
      </w:r>
    </w:p>
    <w:p>
      <w:r>
        <w:t>Annexure A: Raw financial data tables</w:t>
      </w:r>
    </w:p>
    <w:p>
      <w:r>
        <w:t>Annexure B: Research source URLs</w:t>
      </w:r>
    </w:p>
    <w:p>
      <w:r>
        <w:t>- https://www.mca.gov.in/content/mca/global/en/mca/master-data.html</w:t>
      </w:r>
    </w:p>
    <w:p>
      <w:r>
        <w:t>- https://ecourts.example/no-major-cases</w:t>
      </w:r>
    </w:p>
    <w:p>
      <w:r>
        <w:t>- https://news.example/sector-outlook-agri-processing-2026</w:t>
      </w:r>
    </w:p>
    <w:p>
      <w:r>
        <w:t>- https://www.rbi.org.in/</w:t>
      </w:r>
    </w:p>
    <w:p>
      <w:r>
        <w:t>Annexure C: SHAP explanation chart (placeholder)</w:t>
      </w:r>
    </w:p>
    <w:p>
      <w:r>
        <w:t>SHAP top factors: has_nclt_proceedings, has_going_concern_doubt, dscr, has_promoter_fraud_news, interest_coverage_ratio, gst_banking_ratio, gst_return_filing_consistency, average_bank_balance_to_limit_ratio, mca_filing_compliance_score, management_integrity_score</w:t>
      </w:r>
    </w:p>
    <w:p>
      <w:r>
        <w:t>Annexure D: Glossary of Indian credit terms</w:t>
      </w:r>
    </w:p>
    <w:p>
      <w:r>
        <w:t>Annexure E: Decision Traceability and Governance</w:t>
      </w:r>
    </w:p>
    <w:p>
      <w:r>
        <w:t>CAM generation date: 2026-03-06</w:t>
      </w:r>
    </w:p>
    <w:p>
      <w:r>
        <w:t>Model stack: Rules + ML calibration + explainability narrative</w:t>
      </w:r>
    </w:p>
    <w:p>
      <w:r>
        <w:t>Total web-research findings considered: 4</w:t>
      </w:r>
    </w:p>
    <w:p>
      <w:r>
        <w:t>Human-in-the-loop adjustment from due diligence: +0.0</w:t>
      </w:r>
    </w:p>
    <w:p>
      <w:r>
        <w:t>Final decision score delta from human input: +0.0 points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