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2026-03-05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Steel Works Pvt. Ltd. | CIN: U27100AP2016PTC103210 | Sector: manufacturing</w:t>
      </w:r>
    </w:p>
    <w:p>
      <w:r>
        <w:t>Loan Request: ₹30.00 crore | Tenor: 36 months | Purpose: working_capital</w:t>
      </w:r>
    </w:p>
    <w:p>
      <w:r>
        <w:rPr>
          <w:b/>
        </w:rPr>
        <w:t>Recommendation: REJECT | Amount: ₹0.00 crore | Rate: -1.00%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 Steel Works Pvt. Ltd.].</w:t>
      </w:r>
    </w:p>
    <w:p>
      <w:pPr>
        <w:pStyle w:val="Heading2"/>
      </w:pPr>
      <w:r>
        <w:t>Borrower Clarifications (Finance Officer Input)</w:t>
      </w:r>
    </w:p>
    <w:p>
      <w:r>
        <w:t>Primary respondent: Kiran Rao (Finance Officer)</w:t>
      </w:r>
    </w:p>
    <w:p>
      <w:r>
        <w:t>Business highlights: Utilization improved from 61% to 72% with repeat contracts in auto-components.</w:t>
      </w:r>
    </w:p>
    <w:p>
      <w:r>
        <w:t>Borrower-declared risks: Potential raw material price volatility in H2.</w:t>
      </w:r>
    </w:p>
    <w:p>
      <w:r>
        <w:t>Declared capacity utilization: 72.0%</w:t>
      </w:r>
    </w:p>
    <w:p>
      <w:pPr>
        <w:pStyle w:val="Heading1"/>
      </w:pPr>
      <w:r>
        <w:t>SECTION 3: THE FIVE Cs ANALYSIS</w:t>
      </w:r>
    </w:p>
    <w:p>
      <w:pPr>
        <w:pStyle w:val="Heading2"/>
      </w:pPr>
      <w:r>
        <w:t>3.1 Character</w:t>
      </w:r>
    </w:p>
    <w:p>
      <w:r>
        <w:t>Score: 10.0/10 | Risk Level: LOW</w:t>
      </w:r>
    </w:p>
    <w:p>
      <w:pPr>
        <w:pStyle w:val="Heading2"/>
      </w:pPr>
      <w:r>
        <w:t>3.2 Capacity</w:t>
      </w:r>
    </w:p>
    <w:p>
      <w:r>
        <w:t>Score: 9.35/10 | Risk Level: LOW</w:t>
      </w:r>
    </w:p>
    <w:p>
      <w:pPr>
        <w:pStyle w:val="Heading2"/>
      </w:pPr>
      <w:r>
        <w:t>3.3 Capital</w:t>
      </w:r>
    </w:p>
    <w:p>
      <w:r>
        <w:t>Score: 8.9/10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1.25</w:t>
            </w:r>
          </w:p>
        </w:tc>
      </w:tr>
      <w:tr>
        <w:tc>
          <w:tcPr>
            <w:tcW w:type="dxa" w:w="4320"/>
          </w:tcPr>
          <w:p>
            <w:r>
              <w:t>Debt/Equity</w:t>
            </w:r>
          </w:p>
        </w:tc>
        <w:tc>
          <w:tcPr>
            <w:tcW w:type="dxa" w:w="4320"/>
          </w:tcPr>
          <w:p>
            <w:r>
              <w:t>1.5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4012041.6895</w:t>
            </w:r>
          </w:p>
        </w:tc>
      </w:tr>
      <w:tr>
        <w:tc>
          <w:tcPr>
            <w:tcW w:type="dxa" w:w="4320"/>
          </w:tcPr>
          <w:p>
            <w:r>
              <w:t>Consistency Score</w:t>
            </w:r>
          </w:p>
        </w:tc>
        <w:tc>
          <w:tcPr>
            <w:tcW w:type="dxa" w:w="4320"/>
          </w:tcPr>
          <w:p>
            <w:r>
              <w:t>39.0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-1.501).</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-1.220).</w:t>
            </w:r>
          </w:p>
        </w:tc>
        <w:tc>
          <w:tcPr>
            <w:tcW w:type="dxa" w:w="2880"/>
          </w:tcPr>
          <w:p>
            <w:r>
              <w:t>Medium/High</w:t>
            </w:r>
          </w:p>
        </w:tc>
        <w:tc>
          <w:tcPr>
            <w:tcW w:type="dxa" w:w="2880"/>
          </w:tcPr>
          <w:p>
            <w:r>
              <w:t>Quarterly covenant tracking and early warning triggers.</w:t>
            </w:r>
          </w:p>
        </w:tc>
      </w:tr>
      <w:tr>
        <w:tc>
          <w:tcPr>
            <w:tcW w:type="dxa" w:w="2880"/>
          </w:tcPr>
          <w:p>
            <w:r>
              <w:t>Dscr weakens credit quality (impact -0.887).</w:t>
            </w:r>
          </w:p>
        </w:tc>
        <w:tc>
          <w:tcPr>
            <w:tcW w:type="dxa" w:w="2880"/>
          </w:tcPr>
          <w:p>
            <w:r>
              <w:t>Medium/High</w:t>
            </w:r>
          </w:p>
        </w:tc>
        <w:tc>
          <w:tcPr>
            <w:tcW w:type="dxa" w:w="2880"/>
          </w:tcPr>
          <w:p>
            <w:r>
              <w:t>Quarterly covenant tracking and early warning triggers.</w:t>
            </w:r>
          </w:p>
        </w:tc>
      </w:tr>
    </w:tbl>
    <w:p>
      <w:r>
        <w:t>Overall data consistency score: 39.0</w:t>
      </w:r>
    </w:p>
    <w:p>
      <w:pPr>
        <w:pStyle w:val="Heading1"/>
      </w:pPr>
      <w:r>
        <w:t>SECTION 6: RESEARCH FINDINGS</w:t>
      </w:r>
    </w:p>
    <w:p>
      <w:r>
        <w:t>## Section 6 — Research Findings</w:t>
        <w:br/>
        <w:br/>
        <w:t>As part of the comprehensive due diligence process for Vizag Steel Works Pvt. Ltd., detailed research was conducted across various public and proprietary databases. The overall research verdict indicates a **LOW_RISK** profile for the entity, with no adverse impact on the internal credit score (Score Impact: 0.0).</w:t>
        <w:br/>
        <w:br/>
        <w:t>**Critical Negatives:**</w:t>
        <w:br/>
        <w:t>Our extensive research did not identify any critical negative findings pertaining to the company's regulatory standing, legal history, or operational integrity that would materially impact the credit assessment. This absence of adverse findings is a significant de-risking factor.</w:t>
        <w:br/>
        <w:br/>
        <w:t>**Sector Context:**</w:t>
        <w:br/>
        <w:t>Vizag Steel Works Pvt. Ltd. operates within the Indian steel sector, which is a foundational industry for the nation's economic growth. The sector is currently experiencing tailwinds driven by the Government of India's sustained thrust on infrastructure development, construction, and manufacturing under initiatives like 'Make in India' and the Production Linked Incentive (PLI) schemes. While the steel industry is inherently cyclical and susceptible to commodity price fluctuations and global demand-supply dynamics, domestic demand remains robust. Companies with strong operational efficiencies and sound corporate governance, such as Vizag Steel Works Pvt. Ltd. appears to be, are well-positioned to capitalise on this growth trajectory.</w:t>
        <w:br/>
        <w:br/>
        <w:t>**Key Findings:**</w:t>
        <w:br/>
        <w:br/>
        <w:t>1.  **MCA Compliance Healthy:** Our review of records from the Ministry of Corporate Affairs</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450.0/900</w:t>
      </w:r>
    </w:p>
    <w:p>
      <w:r>
        <w:t>Decision: REJECT</w:t>
      </w:r>
    </w:p>
    <w:p>
      <w:r>
        <w:t>Recommended loan amount: ₹0.00 crore</w:t>
      </w:r>
    </w:p>
    <w:p>
      <w:r>
        <w:t>Recommended interest rate: -1.00% p.a.</w:t>
      </w:r>
    </w:p>
    <w:p>
      <w:r>
        <w:t>Tenor: 36 months</w:t>
      </w:r>
    </w:p>
    <w:p>
      <w:r>
        <w:t>Decision validity window: 30 days (valid up to 2026-04-04)</w:t>
      </w:r>
    </w:p>
    <w:p>
      <w:r>
        <w:t>AI Explainability Note:</w:t>
      </w:r>
    </w:p>
    <w:p>
      <w:r>
        <w:t>The recommendation balances cashflow resilience against detected governance and compliance risks. DSCR is observed at 1.25x, GST ITC gap at 0.00%, and factory utilization at 72.0%. Positive drivers include: Has Going Concern Doubt supports credit quality (impact +1.682).; Interest Coverage Ratio supports credit quality (impact +0.407).; Revenue Cagr 3Yr supports credit quality (impact +0.397). Key constraints include: Has Nclt Proceedings weakens credit quality (impact -1.501).; Has Promoter Fraud News weakens credit quality (impact -1.220).; Dscr weakens credit quality (impact -0.887).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has_nclt_proceedings, has_promoter_fraud_news, dscr, mca_filing_compliance_score, gst_return_filing_consistency, interest_coverage_ratio, revenue_cagr_3yr, ebitda_margin, gst_banking_ratio</w:t>
      </w:r>
    </w:p>
    <w:p>
      <w:r>
        <w:t>Annexure D: Glossary of Indian credit terms</w:t>
      </w:r>
    </w:p>
    <w:p>
      <w:r>
        <w:t>Annexure E: Decision Traceability and Governance</w:t>
      </w:r>
    </w:p>
    <w:p>
      <w:r>
        <w:t>CAM generation date: 2026-03-05</w:t>
      </w:r>
    </w:p>
    <w:p>
      <w:r>
        <w:t>Model stack: Rules + ML calibration + explainability narrative</w:t>
      </w:r>
    </w:p>
    <w:p>
      <w:r>
        <w:t>Total web-research findings considered: 2</w:t>
      </w:r>
    </w:p>
    <w:p>
      <w:r>
        <w:t>Human-in-the-loop adjustment from due diligence: +0.0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