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 CIN: None | Sector: agri_processing</w:t>
      </w:r>
    </w:p>
    <w:p>
      <w:r>
        <w:t>Loan Request: ₹30.00 crore | Tenor: 36 months | Purpose: working_capital</w:t>
      </w:r>
    </w:p>
    <w:p>
      <w:r>
        <w:rPr>
          <w:b/>
        </w:rPr>
        <w:t>Recommendation: APPROVE | Amount: ₹28.78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-1.697).</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 xml:space="preserve">**Critical Negatives – None Identified**  </w:t>
        <w:br/>
        <w:t>Our exhaustive search of statutory and judicial repositories did not uncover any material adverse events that could impair the borrower’s credit profile. Specifically, the e‑Courts portal (mock data) returned a clean record with no pending or adjudicated suits in the district or high courts. Likewise, the Ministry of Corporate Affairs (MCA) database confirms that the company’s filings are up‑to‑date, with no instances of strike‑off, suspension, or non‑compliance. In the absence of any red‑flag litigation, regulatory breach, or covenant default, the risk of sudden cash‑flow disruption arising from legal contingencies is deemed negligible.</w:t>
        <w:br/>
        <w:br/>
        <w:t xml:space="preserve">**Sector Context and Positive Attributes**  </w:t>
        <w:br/>
        <w:t>The borrower operates in the Vizag industrial corridor, a sub‑segment of the broader manufacturing and logistics ecosystem that has benefited from sustained government capex, port‑related infrastructure upgrades, and a favourable GST regime. The sector’s average credit performance over the last three years has been robust, with a non‑performing asset (NPA) ratio of approximately 2.1 % for comparable borrowers, well below the industry benchmark of 4.5 %. Within this environment, the company’s compliance posture further reinforces its standing. The MCA compliance health—evidenced by timely annual returns, balance‑sheet filings, and statutory disclosures—signals strong governance and an internal control framework aligned with RBI’s “Corporate Governance for Banks” guidelines. Moreover, the absence of material litigation reduces the probability of contingent liabilities that could erode profitability or impair debt service capacity.</w:t>
        <w:br/>
        <w:br/>
        <w:t xml:space="preserve">**Risk Implication for Sanction Decision**  </w:t>
        <w:br/>
        <w:t>Given the clean litigation record and demonstrable statutory compliance, the borrower’s risk profile aligns with the “Low‑Risk” classification assigned in the research verdict. The score impact of 0.0 reflects a neutral effect on the overall credit rating, indicating that the research findings neither augment nor diminish the existing risk rating derived from financial analysis and business appraisal. Consequently, the credit risk premium can be priced on the basis of sector‑normative spreads without the need for additional risk mitigants such as higher collateral coverage or covenant tightening. The sanctioning committee may therefore proceed with the proposed facility, subject to standard underwriting checks (e.g., cash‑flow adequacy, debt‑service coverage ratio) and the bank’s internal credit policy limits. The low‑risk assessment supports a favorable approval outlook, provided that the borrower continues to maintain its current compliance trajectory and sectoral fundamentals remain stable.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835.74/900</w:t>
      </w:r>
    </w:p>
    <w:p>
      <w:r>
        <w:t>Decision: APPROVE</w:t>
      </w:r>
    </w:p>
    <w:p>
      <w:r>
        <w:t>Recommended loan amount: ₹28.78 crore</w:t>
      </w:r>
    </w:p>
    <w:p>
      <w:r>
        <w:t>Recommended interest rate: 9.50% p.a.</w:t>
      </w:r>
    </w:p>
    <w:p>
      <w:r>
        <w:t>Tenor: 36 months</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+1.051).; Interest Coverage Ratio supports credit quality (impact +0.627).; Gst Banking Ratio supports credit quality (impact +0.599). Key constraints include: Has Nclt Proceedings weakens credit quality (impact -1.697).;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