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2026-03-05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 CIN: None | Sector: manufacturing</w:t>
      </w:r>
    </w:p>
    <w:p>
      <w:r>
        <w:t>Loan Request: ₹30.00 crore | Tenor: 36 months | Purpose: working_capital</w:t>
      </w:r>
    </w:p>
    <w:p>
      <w:r>
        <w:rPr>
          <w:b/>
        </w:rPr>
        <w:t>Recommendation: APPROVE | Amount: ₹28.56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-1.713).</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 Section 6 — Research Findings</w:t>
        <w:br/>
        <w:br/>
        <w:t>This section details the findings from independent research and due diligence conducted on Vizag, providing critical insights into the company's operational and regulatory standing. The comprehensive review supports the overall "LOW_</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833.16/900</w:t>
      </w:r>
    </w:p>
    <w:p>
      <w:r>
        <w:t>Decision: APPROVE</w:t>
      </w:r>
    </w:p>
    <w:p>
      <w:r>
        <w:t>Recommended loan amount: ₹28.56 crore</w:t>
      </w:r>
    </w:p>
    <w:p>
      <w:r>
        <w:t>Recommended interest rate: 9.50% p.a.</w:t>
      </w:r>
    </w:p>
    <w:p>
      <w:r>
        <w:t>Tenor: 36 months</w:t>
      </w:r>
    </w:p>
    <w:p>
      <w:r>
        <w:t>Decision validity window: 30 days (valid up to 2026-04-04)</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+1.055).; Interest Coverage Ratio supports credit quality (impact +0.630).; Gst Banking Ratio supports credit quality (impact +0.599). Key constraints include: Has Nclt Proceedings weakens credit quality (impact -1.713).;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p>
      <w:r>
        <w:t>Annexure E: Decision Traceability and Governance</w:t>
      </w:r>
    </w:p>
    <w:p>
      <w:r>
        <w:t>CAM generation date: 2026-03-05</w:t>
      </w:r>
    </w:p>
    <w:p>
      <w:r>
        <w:t>Model stack: Rules + ML calibration + explainability narrative</w:t>
      </w:r>
    </w:p>
    <w:p>
      <w:r>
        <w:t>Total web-research findings considered: 2</w:t>
      </w:r>
    </w:p>
    <w:p>
      <w:r>
        <w:t>Human-in-the-loop adjustment from due diligence: +0.0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