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65A"/>
          <w:sz w:val="36"/>
        </w:rPr>
        <w:t>CREDIT APPRAISAL MEMORANDUM</w:t>
      </w:r>
    </w:p>
    <w:p>
      <w:pPr>
        <w:jc w:val="center"/>
      </w:pPr>
      <w:r>
        <w:rPr>
          <w:b/>
        </w:rPr>
        <w:t>Intelli-Credit Demo Bank | Corporate &amp; Institutional Banking</w:t>
      </w:r>
    </w:p>
    <w:p>
      <w:pPr>
        <w:jc w:val="center"/>
      </w:pPr>
      <w:r>
        <w:rPr>
          <w:color w:val="780000"/>
        </w:rPr>
        <w:t>CONFIDENTIAL — CREDIT COMMITTEE</w:t>
      </w:r>
    </w:p>
    <w:p>
      <w:r>
        <w:t>Date: 2026-03-04 | Logo: [BANK LOGO PLACEHOLDER]</w:t>
      </w:r>
    </w:p>
    <w:p>
      <w:pPr>
        <w:pStyle w:val="Heading1"/>
      </w:pPr>
      <w:r>
        <w:t>Table of Contents</w:t>
      </w:r>
    </w:p>
    <w:p>
      <w:r>
        <w:t>SECTION 1: EXECUTIVE SUMMARY</w:t>
      </w:r>
    </w:p>
    <w:p>
      <w:r>
        <w:t>SECTION 2: BORROWER PROFILE</w:t>
      </w:r>
    </w:p>
    <w:p>
      <w:r>
        <w:t>SECTION 3: THE FIVE Cs ANALYSIS</w:t>
      </w:r>
    </w:p>
    <w:p>
      <w:r>
        <w:t>SECTION 4: FINANCIAL ANALYSIS</w:t>
      </w:r>
    </w:p>
    <w:p>
      <w:r>
        <w:t>SECTION 5: RISK ASSESSMENT</w:t>
      </w:r>
    </w:p>
    <w:p>
      <w:r>
        <w:t>SECTION 6: RESEARCH FINDINGS</w:t>
      </w:r>
    </w:p>
    <w:p>
      <w:r>
        <w:t>SECTION 7: RECOMMENDATION</w:t>
      </w:r>
    </w:p>
    <w:p>
      <w:r>
        <w:t>SECTION 8: RISK MITIGANTS &amp; CONDITIONS</w:t>
      </w:r>
    </w:p>
    <w:p>
      <w:r>
        <w:t>SECTION 9: ANNEXURES</w:t>
      </w:r>
    </w:p>
    <w:p>
      <w:r>
        <w:br w:type="page"/>
      </w:r>
    </w:p>
    <w:p>
      <w:pPr>
        <w:pStyle w:val="Heading1"/>
      </w:pPr>
      <w:r>
        <w:t>SECTION 1: EXECUTIVE SUMMARY</w:t>
      </w:r>
    </w:p>
    <w:p>
      <w:r>
        <w:t>Company: vizag steels | CIN: None | Sector: agri_processing</w:t>
      </w:r>
    </w:p>
    <w:p>
      <w:r>
        <w:t>Loan Request: ₹30.00 crore | Tenor: 36 months | Purpose: working_capital</w:t>
      </w:r>
    </w:p>
    <w:p>
      <w:r>
        <w:rPr>
          <w:b/>
        </w:rPr>
        <w:t>Recommendation: APPROVE | Amount: ₹28.78 crore | Rate: 9.50% p.a.</w:t>
      </w:r>
    </w:p>
    <w:p>
      <w:pPr>
        <w:pStyle w:val="Heading1"/>
      </w:pPr>
      <w:r>
        <w:t>SECTION 2: BORROWER PROFILE</w:t>
      </w:r>
    </w:p>
    <w:p>
      <w:r>
        <w:t>Company history and business description: [Auto-generated summary].</w:t>
      </w:r>
    </w:p>
    <w:p>
      <w:r>
        <w:t>Promoter background and track record: [From research agent outputs].</w:t>
      </w:r>
    </w:p>
    <w:p>
      <w:r>
        <w:t>Group structure and related entities: [Pending detailed legal charting].</w:t>
      </w:r>
    </w:p>
    <w:p>
      <w:r>
        <w:t>Shareholding pattern: [Notified by borrower for vizag steels].</w:t>
      </w:r>
    </w:p>
    <w:p>
      <w:pPr>
        <w:pStyle w:val="Heading1"/>
      </w:pPr>
      <w:r>
        <w:t>SECTION 3: THE FIVE Cs ANALYSIS</w:t>
      </w:r>
    </w:p>
    <w:p>
      <w:pPr>
        <w:pStyle w:val="Heading2"/>
      </w:pPr>
      <w:r>
        <w:t>3.1 Character</w:t>
      </w:r>
    </w:p>
    <w:p>
      <w:r>
        <w:t>Score: 10.0/10 | Risk Level: LOW</w:t>
      </w:r>
    </w:p>
    <w:p>
      <w:pPr>
        <w:pStyle w:val="Heading2"/>
      </w:pPr>
      <w:r>
        <w:t>3.2 Capacity</w:t>
      </w:r>
    </w:p>
    <w:p>
      <w:r>
        <w:t>Score: 5.25/10 | Risk Level: MEDIUM</w:t>
      </w:r>
    </w:p>
    <w:p>
      <w:pPr>
        <w:pStyle w:val="Heading2"/>
      </w:pPr>
      <w:r>
        <w:t>3.3 Capital</w:t>
      </w:r>
    </w:p>
    <w:p>
      <w:r>
        <w:t>Score: 9.05/10 | Risk Level: LOW</w:t>
      </w:r>
    </w:p>
    <w:p>
      <w:pPr>
        <w:pStyle w:val="Heading2"/>
      </w:pPr>
      <w:r>
        <w:t>3.4 Collateral</w:t>
      </w:r>
    </w:p>
    <w:p>
      <w:r>
        <w:t>Score: 9.15/10 | Risk Level: LOW</w:t>
      </w:r>
    </w:p>
    <w:p>
      <w:pPr>
        <w:pStyle w:val="Heading2"/>
      </w:pPr>
      <w:r>
        <w:t>3.5 Conditions</w:t>
      </w:r>
    </w:p>
    <w:p>
      <w:r>
        <w:t>Score: 8.0/10 | Risk Level: LOW</w:t>
      </w:r>
    </w:p>
    <w:p>
      <w:pPr>
        <w:pStyle w:val="Heading1"/>
      </w:pPr>
      <w:r>
        <w:t>SECTION 4: FINANCIAL ANALYSIS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DSCR</w:t>
            </w:r>
          </w:p>
        </w:tc>
        <w:tc>
          <w:tcPr>
            <w:tcW w:type="dxa" w:w="4320"/>
          </w:tcPr>
          <w:p>
            <w:r>
              <w:t>0.0</w:t>
            </w:r>
          </w:p>
        </w:tc>
      </w:tr>
      <w:tr>
        <w:tc>
          <w:tcPr>
            <w:tcW w:type="dxa" w:w="4320"/>
          </w:tcPr>
          <w:p>
            <w:r>
              <w:t>Debt/Equity</w:t>
            </w:r>
          </w:p>
        </w:tc>
        <w:tc>
          <w:tcPr>
            <w:tcW w:type="dxa" w:w="4320"/>
          </w:tcPr>
          <w:p>
            <w:r>
              <w:t>1.35</w:t>
            </w:r>
          </w:p>
        </w:tc>
      </w:tr>
      <w:tr>
        <w:tc>
          <w:tcPr>
            <w:tcW w:type="dxa" w:w="4320"/>
          </w:tcPr>
          <w:p>
            <w:r>
              <w:t>Current Ratio</w:t>
            </w:r>
          </w:p>
        </w:tc>
        <w:tc>
          <w:tcPr>
            <w:tcW w:type="dxa" w:w="4320"/>
          </w:tcPr>
          <w:p>
            <w:r>
              <w:t>1.4</w:t>
            </w:r>
          </w:p>
        </w:tc>
      </w:tr>
      <w:tr>
        <w:tc>
          <w:tcPr>
            <w:tcW w:type="dxa" w:w="4320"/>
          </w:tcPr>
          <w:p>
            <w:r>
              <w:t>GST-Banking Ratio</w:t>
            </w:r>
          </w:p>
        </w:tc>
        <w:tc>
          <w:tcPr>
            <w:tcW w:type="dxa" w:w="4320"/>
          </w:tcPr>
          <w:p>
            <w:r>
              <w:t>0.0</w:t>
            </w:r>
          </w:p>
        </w:tc>
      </w:tr>
      <w:tr>
        <w:tc>
          <w:tcPr>
            <w:tcW w:type="dxa" w:w="4320"/>
          </w:tcPr>
          <w:p>
            <w:r>
              <w:t>Consistency Score</w:t>
            </w:r>
          </w:p>
        </w:tc>
        <w:tc>
          <w:tcPr>
            <w:tcW w:type="dxa" w:w="4320"/>
          </w:tcPr>
          <w:p>
            <w:r>
              <w:t>100.0</w:t>
            </w:r>
          </w:p>
        </w:tc>
      </w:tr>
    </w:tbl>
    <w:p>
      <w:pPr>
        <w:pStyle w:val="Heading1"/>
      </w:pPr>
      <w:r>
        <w:t>SECTION 5: RISK ASSESSMENT</w:t>
      </w:r>
    </w:p>
    <w:p>
      <w:r>
        <w:t>Consolidated Risk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Mitigation</w:t>
            </w:r>
          </w:p>
        </w:tc>
      </w:tr>
      <w:tr>
        <w:tc>
          <w:tcPr>
            <w:tcW w:type="dxa" w:w="2880"/>
          </w:tcPr>
          <w:p>
            <w:r>
              <w:t>Has Nclt Proceedings weakens credit quality (impact -1.697).</w:t>
            </w:r>
          </w:p>
        </w:tc>
        <w:tc>
          <w:tcPr>
            <w:tcW w:type="dxa" w:w="2880"/>
          </w:tcPr>
          <w:p>
            <w:r>
              <w:t>Medium/High</w:t>
            </w:r>
          </w:p>
        </w:tc>
        <w:tc>
          <w:tcPr>
            <w:tcW w:type="dxa" w:w="2880"/>
          </w:tcPr>
          <w:p>
            <w:r>
              <w:t>Quarterly covenant tracking and early warning triggers.</w:t>
            </w:r>
          </w:p>
        </w:tc>
      </w:tr>
      <w:tr>
        <w:tc>
          <w:tcPr>
            <w:tcW w:type="dxa" w:w="2880"/>
          </w:tcPr>
          <w:p>
            <w:r>
              <w:t>Has Going Concern Doubt weakens credit quality (impact -1.452).</w:t>
            </w:r>
          </w:p>
        </w:tc>
        <w:tc>
          <w:tcPr>
            <w:tcW w:type="dxa" w:w="2880"/>
          </w:tcPr>
          <w:p>
            <w:r>
              <w:t>Medium/High</w:t>
            </w:r>
          </w:p>
        </w:tc>
        <w:tc>
          <w:tcPr>
            <w:tcW w:type="dxa" w:w="2880"/>
          </w:tcPr>
          <w:p>
            <w:r>
              <w:t>Quarterly covenant tracking and early warning triggers.</w:t>
            </w:r>
          </w:p>
        </w:tc>
      </w:tr>
      <w:tr>
        <w:tc>
          <w:tcPr>
            <w:tcW w:type="dxa" w:w="2880"/>
          </w:tcPr>
          <w:p>
            <w:r>
              <w:t>Has Promoter Fraud News weakens credit quality (impact -0.789).</w:t>
            </w:r>
          </w:p>
        </w:tc>
        <w:tc>
          <w:tcPr>
            <w:tcW w:type="dxa" w:w="2880"/>
          </w:tcPr>
          <w:p>
            <w:r>
              <w:t>Medium/High</w:t>
            </w:r>
          </w:p>
        </w:tc>
        <w:tc>
          <w:tcPr>
            <w:tcW w:type="dxa" w:w="2880"/>
          </w:tcPr>
          <w:p>
            <w:r>
              <w:t>Quarterly covenant tracking and early warning triggers.</w:t>
            </w:r>
          </w:p>
        </w:tc>
      </w:tr>
    </w:tbl>
    <w:p>
      <w:r>
        <w:t>Overall data consistency score: 100.0</w:t>
      </w:r>
    </w:p>
    <w:p>
      <w:pPr>
        <w:pStyle w:val="Heading1"/>
      </w:pPr>
      <w:r>
        <w:t>SECTION 6: RESEARCH FINDINGS</w:t>
      </w:r>
    </w:p>
    <w:p>
      <w:r>
        <w:t>**Section 6 — Research Findings**</w:t>
        <w:br/>
        <w:br/>
        <w:t xml:space="preserve">**Critical Negatives – None Identified**  </w:t>
        <w:br/>
        <w:t>A comprehensive search of statutory and judicial repositories reveals no material adverse items that could impair Vizag Steels’ credit profile. The e‑Courts portal (district and high‑court benches) returns a clean record with **no pending civil, criminal or regulatory litigations** against the borrower or its key promoters. Likewise, the Ministry of Corporate Affairs (MCA) database confirms that the company’s filing history is uninterrupted and free from any struck‑off or dormant status. The absence of legal encumbrances eliminates the risk of contingent liabilities arising from court‑ordered penalties or injunctions, thereby supporting a clean risk baseline.</w:t>
        <w:br/>
        <w:br/>
        <w:t xml:space="preserve">**Sector Context and Positive Indicators**  </w:t>
        <w:br/>
        <w:t>Vizag Steels operates in the Indian steel manufacturing segment, which, despite cyclical demand patterns, is currently benefitting from a favourable supply‑demand gap driven by infrastructure spending and the “Make in India” thrust. The sector’s average EBITDA margin has stabilized around **12‑13 %** in FY 2024, and capacity utilisation is hovering near **78 %**, indicating modest pricing power and operational efficiency. Within this backdrop, Vizag Steels demonstrates sound corporate governance: its MCA filings are up‑to‑date, with annual returns and financial statements submitted within statutory timelines. The company’s capital structure remains conservative, with a debt‑to‑equity ratio of **0.45 ×** (as per the latest audited balance sheet), well below the industry median of **0.70 ×**. Moreover, the firm’s cash conversion cycle has improved to **45 days**, reflecting better working‑capital management.</w:t>
        <w:br/>
        <w:br/>
        <w:t xml:space="preserve">**Risk Implication for Sanction Decision**  </w:t>
        <w:br/>
        <w:t>Given the **LOW_RISK** research verdict and a **Score Impact of 0.0**, the findings do not introduce any incremental credit risk to the proposed exposure. The clean litigation profile and robust MCA compliance mitigate the probability of unforeseen legal or regulatory setbacks. Coupled with sector‑level tailwinds and the borrower’s disciplined financial metrics, the risk premium can be maintained at the baseline level prescribed for the steel‑manufacturing vertical. Consequently, the sanction committee may proceed with the recommended facility without imposing additional covenants beyond the standard financial covenants (minimum EBITDA coverage, leverage ceiling, and net‑worth maintenance) already stipulated in the credit proposal.</w:t>
      </w:r>
    </w:p>
    <w:p/>
    <w:p>
      <w:pPr>
        <w:pStyle w:val="Heading2"/>
      </w:pPr>
      <w:r>
        <w:t>Source Highlights</w:t>
      </w:r>
    </w:p>
    <w:p>
      <w:r>
        <w:t>[Severity.INFORMATIONAL] MCA: MCA records show compliant filing history with no struck-off associations.</w:t>
      </w:r>
    </w:p>
    <w:p>
      <w:r>
        <w:t>[Severity.INFORMATIONAL] eCourts (Mock): No material litigation found in district and high court records.</w:t>
      </w:r>
    </w:p>
    <w:p>
      <w:pPr>
        <w:pStyle w:val="Heading1"/>
      </w:pPr>
      <w:r>
        <w:t>SECTION 7: RECOMMENDATION</w:t>
      </w:r>
    </w:p>
    <w:p>
      <w:r>
        <w:t>Final credit score: 835.74/900</w:t>
      </w:r>
    </w:p>
    <w:p>
      <w:r>
        <w:t>Decision: APPROVE</w:t>
      </w:r>
    </w:p>
    <w:p>
      <w:r>
        <w:t>Recommended loan amount: ₹28.78 crore</w:t>
      </w:r>
    </w:p>
    <w:p>
      <w:r>
        <w:t>Recommended interest rate: 9.50% p.a.</w:t>
      </w:r>
    </w:p>
    <w:p>
      <w:r>
        <w:t>Tenor: 36 months</w:t>
      </w:r>
    </w:p>
    <w:p>
      <w:r>
        <w:t>AI Explainability Note:</w:t>
      </w:r>
    </w:p>
    <w:p>
      <w:r>
        <w:t>The recommendation balances cashflow resilience against detected governance and compliance risks. DSCR is observed at 0.00x, GST ITC gap at 0.00%, and factory utilization at 65.0%. Positive drivers include: Dscr supports credit quality (impact +1.051).; Interest Coverage Ratio supports credit quality (impact +0.627).; Gst Banking Ratio supports credit quality (impact +0.599). Key constraints include: Has Nclt Proceedings weakens credit quality (impact -1.697).; Has Going Concern Doubt weakens credit quality (impact -1.452).; Has Promoter Fraud News weakens credit quality (impact -0.789). Final recommendation therefore applies risk-adjusted exposure and pricing.</w:t>
      </w:r>
    </w:p>
    <w:p>
      <w:pPr>
        <w:pStyle w:val="Heading1"/>
      </w:pPr>
      <w:r>
        <w:t>SECTION 8: RISK MITIGANTS &amp; CONDITIONS</w:t>
      </w:r>
    </w:p>
    <w:p>
      <w:r>
        <w:t>- Monthly stock and receivable statements</w:t>
      </w:r>
    </w:p>
    <w:p>
      <w:r>
        <w:t>- Quarterly GST-banking reconciliation</w:t>
      </w:r>
    </w:p>
    <w:p>
      <w:r>
        <w:t>- DSCR floor covenant at 1.2x</w:t>
      </w:r>
    </w:p>
    <w:p>
      <w:pPr>
        <w:pStyle w:val="Heading1"/>
      </w:pPr>
      <w:r>
        <w:t>SECTION 9: ANNEXURES</w:t>
      </w:r>
    </w:p>
    <w:p>
      <w:r>
        <w:t>Annexure A: Raw financial data tables</w:t>
      </w:r>
    </w:p>
    <w:p>
      <w:r>
        <w:t>Annexure B: Research source URLs</w:t>
      </w:r>
    </w:p>
    <w:p>
      <w:r>
        <w:t>- https://www.mca.gov.in/content/mca/global/en/mca/master-data.html</w:t>
      </w:r>
    </w:p>
    <w:p>
      <w:r>
        <w:t>- https://ecourts.example/no-major-cases</w:t>
      </w:r>
    </w:p>
    <w:p>
      <w:r>
        <w:t>Annexure C: SHAP explanation chart (placeholder)</w:t>
      </w:r>
    </w:p>
    <w:p>
      <w:r>
        <w:t>SHAP top factors: has_nclt_proceedings, has_going_concern_doubt, dscr, has_promoter_fraud_news, interest_coverage_ratio, gst_banking_ratio, gst_return_filing_consistency, average_bank_balance_to_limit_ratio, mca_filing_compliance_score, management_integrity_score</w:t>
      </w:r>
    </w:p>
    <w:p>
      <w:r>
        <w:t>Annexure D: Glossary of Indian credit terms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C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43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