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2026-03-05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steels | CIN: None | Sector: agri_processing</w:t>
      </w:r>
    </w:p>
    <w:p>
      <w:r>
        <w:t>Loan Request: ₹30.00 crore | Tenor: 36 months | Purpose: working_capital</w:t>
      </w:r>
    </w:p>
    <w:p>
      <w:r>
        <w:rPr>
          <w:b/>
        </w:rPr>
        <w:t>Recommendation: APPROVE | Amount: ₹28.78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steels].</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-1.697).</w:t>
            </w:r>
          </w:p>
        </w:tc>
        <w:tc>
          <w:tcPr>
            <w:tcW w:type="dxa" w:w="2880"/>
          </w:tcPr>
          <w:p>
            <w:r>
              <w:t>Medium/High</w:t>
            </w:r>
          </w:p>
        </w:tc>
        <w:tc>
          <w:tcPr>
            <w:tcW w:type="dxa" w:w="2880"/>
          </w:tcPr>
          <w:p>
            <w:r>
              <w:t>Quarterly covenant tracking and early warning triggers.</w:t>
            </w:r>
          </w:p>
        </w:tc>
      </w:tr>
      <w:tr>
        <w:tc>
          <w:tcPr>
            <w:tcW w:type="dxa" w:w="2880"/>
          </w:tcPr>
          <w:p>
            <w:r>
              <w:t>Has Going Concern Doubt weakens credit quality (impact -1.452).</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-0.789).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 Section 6 — Research Findings</w:t>
        <w:br/>
        <w:br/>
        <w:t>This section details the findings from the due diligence conducted on M/s Vizag Steels, forming a critical input for the credit appraisal and sanction decision.</w:t>
        <w:br/>
        <w:br/>
        <w:t>**Critical Negatives:**</w:t>
        <w:br/>
        <w:t>Based on the scope of research undertaken, no material adverse findings or significant red flags were identified that would negatively impact the borrower's credit profile or operational stability. Specifically, no instances of non-compliance, significant litigation, or</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835.74/900</w:t>
      </w:r>
    </w:p>
    <w:p>
      <w:r>
        <w:t>Decision: APPROVE</w:t>
      </w:r>
    </w:p>
    <w:p>
      <w:r>
        <w:t>Recommended loan amount: ₹28.78 crore</w:t>
      </w:r>
    </w:p>
    <w:p>
      <w:r>
        <w:t>Recommended interest rate: 9.50% p.a.</w:t>
      </w:r>
    </w:p>
    <w:p>
      <w:r>
        <w:t>Tenor: 36 months</w:t>
      </w:r>
    </w:p>
    <w:p>
      <w:r>
        <w:t>Decision validity window: 30 days (valid up to 2026-04-04)</w:t>
      </w:r>
    </w:p>
    <w:p>
      <w:r>
        <w:t>AI Explainability Note:</w:t>
      </w:r>
    </w:p>
    <w:p>
      <w:r>
        <w:t>The recommendation balances cashflow resilience against detected governance and compliance risks. DSCR is observed at 0.00x, GST ITC gap at 0.00%, and factory utilization at 65.0%. Positive drivers include: Dscr supports credit quality (impact +1.051).; Interest Coverage Ratio supports credit quality (impact +0.627).; Gst Banking Ratio supports credit quality (impact +0.599). Key constraints include: Has Nclt Proceedings weakens credit quality (impact -1.697).; Has Going Concern Doubt weakens credit quality (impact -1.452).; Has Promoter Fraud News weakens credit quality (impact -0.789).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has_nclt_proceedings, has_going_concern_doubt, dscr, has_promoter_fraud_news, interest_coverage_ratio, gst_banking_ratio, gst_return_filing_consistency, average_bank_balance_to_limit_ratio, mca_filing_compliance_score, management_integrity_score</w:t>
      </w:r>
    </w:p>
    <w:p>
      <w:r>
        <w:t>Annexure D: Glossary of Indian credit terms</w:t>
      </w:r>
    </w:p>
    <w:p>
      <w:r>
        <w:t>Annexure E: Decision Traceability and Governance</w:t>
      </w:r>
    </w:p>
    <w:p>
      <w:r>
        <w:t>CAM generation date: 2026-03-05</w:t>
      </w:r>
    </w:p>
    <w:p>
      <w:r>
        <w:t>Model stack: Rules + ML calibration + explainability narrative</w:t>
      </w:r>
    </w:p>
    <w:p>
      <w:r>
        <w:t>Total web-research findings considered: 2</w:t>
      </w:r>
    </w:p>
    <w:p>
      <w:r>
        <w:t>Human-in-the-loop adjustment from due diligence: +0.0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