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65A"/>
          <w:sz w:val="36"/>
        </w:rPr>
        <w:t>CREDIT APPRAISAL MEMORANDUM</w:t>
      </w:r>
    </w:p>
    <w:p>
      <w:pPr>
        <w:jc w:val="center"/>
      </w:pPr>
      <w:r>
        <w:rPr>
          <w:b/>
        </w:rPr>
        <w:t>Intelli-Credit Demo Bank | Corporate &amp; Institutional Banking</w:t>
      </w:r>
    </w:p>
    <w:p>
      <w:pPr>
        <w:jc w:val="center"/>
      </w:pPr>
      <w:r>
        <w:rPr>
          <w:color w:val="780000"/>
        </w:rPr>
        <w:t>CONFIDENTIAL — CREDIT COMMITTEE</w:t>
      </w:r>
    </w:p>
    <w:p>
      <w:r>
        <w:t>Date: 2026-03-08 | Logo: [BANK LOGO PLACEHOLDER]</w:t>
      </w:r>
    </w:p>
    <w:p>
      <w:pPr>
        <w:pStyle w:val="Heading1"/>
      </w:pPr>
      <w:r>
        <w:t>Table of Contents</w:t>
      </w:r>
    </w:p>
    <w:p>
      <w:r>
        <w:t>SECTION 1: EXECUTIVE SUMMARY</w:t>
      </w:r>
    </w:p>
    <w:p>
      <w:r>
        <w:t>SECTION 2: BORROWER PROFILE</w:t>
      </w:r>
    </w:p>
    <w:p>
      <w:r>
        <w:t>SECTION 3: THE FIVE Cs ANALYSIS</w:t>
      </w:r>
    </w:p>
    <w:p>
      <w:r>
        <w:t>SECTION 4: FINANCIAL ANALYSIS</w:t>
      </w:r>
    </w:p>
    <w:p>
      <w:r>
        <w:t>SECTION 5: RISK ASSESSMENT</w:t>
      </w:r>
    </w:p>
    <w:p>
      <w:r>
        <w:t>SECTION 6: RESEARCH FINDINGS</w:t>
      </w:r>
    </w:p>
    <w:p>
      <w:r>
        <w:t>SECTION 7: RECOMMENDATION</w:t>
      </w:r>
    </w:p>
    <w:p>
      <w:r>
        <w:t>SECTION 8: RISK MITIGANTS &amp; CONDITIONS</w:t>
      </w:r>
    </w:p>
    <w:p>
      <w:r>
        <w:t>SECTION 9: ANNEXURES</w:t>
      </w:r>
    </w:p>
    <w:p>
      <w:r>
        <w:br w:type="page"/>
      </w:r>
    </w:p>
    <w:p>
      <w:pPr>
        <w:pStyle w:val="Heading1"/>
      </w:pPr>
      <w:r>
        <w:t>SECTION 1: EXECUTIVE SUMMARY</w:t>
      </w:r>
    </w:p>
    <w:p>
      <w:r>
        <w:t>Company: Vardhaman Agri Processing Ltd | CIN: None | Sector: agri_processing</w:t>
      </w:r>
    </w:p>
    <w:p>
      <w:r>
        <w:t>Loan Request: ₹30.00 crore | Tenor: 36 months | Purpose: working_capital</w:t>
      </w:r>
    </w:p>
    <w:p>
      <w:r>
        <w:rPr>
          <w:b/>
        </w:rPr>
        <w:t>Recommendation: REJECT | Amount: ₹0.00 crore | Rate: -1.00% p.a.</w:t>
      </w:r>
    </w:p>
    <w:p>
      <w:pPr>
        <w:pStyle w:val="Heading1"/>
      </w:pPr>
      <w:r>
        <w:t>SECTION 2: BORROWER PROFILE</w:t>
      </w:r>
    </w:p>
    <w:p>
      <w:r>
        <w:t>Company history and business description: [Auto-generated summary].</w:t>
      </w:r>
    </w:p>
    <w:p>
      <w:r>
        <w:t>Promoter background and track record: [From research agent outputs].</w:t>
      </w:r>
    </w:p>
    <w:p>
      <w:r>
        <w:t>Group structure and related entities: [Pending detailed legal charting].</w:t>
      </w:r>
    </w:p>
    <w:p>
      <w:r>
        <w:t>Shareholding pattern: [Notified by borrower for Vardhaman Agri Processing Ltd].</w:t>
      </w:r>
    </w:p>
    <w:p>
      <w:pPr>
        <w:pStyle w:val="Heading2"/>
      </w:pPr>
      <w:r>
        <w:t>Borrower Clarifications (Finance Officer Input)</w:t>
      </w:r>
    </w:p>
    <w:p>
      <w:r>
        <w:t>Primary respondent: Not provided by borrower.</w:t>
      </w:r>
    </w:p>
    <w:p>
      <w:r>
        <w:t>Business highlights: No additional borrower business highlights submitted.</w:t>
      </w:r>
    </w:p>
    <w:p>
      <w:r>
        <w:t>Borrower-declared risks: No borrower-declared risks submitted.</w:t>
      </w:r>
    </w:p>
    <w:p>
      <w:r>
        <w:t>Declared capacity utilization: 65.0%</w:t>
      </w:r>
    </w:p>
    <w:p>
      <w:pPr>
        <w:pStyle w:val="Heading1"/>
      </w:pPr>
      <w:r>
        <w:t>SECTION 3: THE FIVE Cs ANALYSIS</w:t>
      </w:r>
    </w:p>
    <w:p>
      <w:pPr>
        <w:pStyle w:val="Heading2"/>
      </w:pPr>
      <w:r>
        <w:t>3.1 Character</w:t>
      </w:r>
    </w:p>
    <w:p>
      <w:r>
        <w:t>Score: 10.0/10 | Risk Level: LOW</w:t>
      </w:r>
    </w:p>
    <w:p>
      <w:pPr>
        <w:pStyle w:val="Heading2"/>
      </w:pPr>
      <w:r>
        <w:t>3.2 Capacity</w:t>
      </w:r>
    </w:p>
    <w:p>
      <w:r>
        <w:t>Score: 9.42/10 | Risk Level: LOW</w:t>
      </w:r>
    </w:p>
    <w:p>
      <w:pPr>
        <w:pStyle w:val="Heading2"/>
      </w:pPr>
      <w:r>
        <w:t>3.3 Capital</w:t>
      </w:r>
    </w:p>
    <w:p>
      <w:r>
        <w:t>Score: 9.05/10 | Risk Level: LOW</w:t>
      </w:r>
    </w:p>
    <w:p>
      <w:pPr>
        <w:pStyle w:val="Heading2"/>
      </w:pPr>
      <w:r>
        <w:t>3.4 Collateral</w:t>
      </w:r>
    </w:p>
    <w:p>
      <w:r>
        <w:t>Score: 9.15/10 | Risk Level: LOW</w:t>
      </w:r>
    </w:p>
    <w:p>
      <w:pPr>
        <w:pStyle w:val="Heading2"/>
      </w:pPr>
      <w:r>
        <w:t>3.5 Conditions</w:t>
      </w:r>
    </w:p>
    <w:p>
      <w:r>
        <w:t>Score: 8.0/10 | Risk Level: LOW</w:t>
      </w:r>
    </w:p>
    <w:p>
      <w:pPr>
        <w:pStyle w:val="Heading1"/>
      </w:pPr>
      <w:r>
        <w:t>SECTION 4: FINANCIAL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DSCR</w:t>
            </w:r>
          </w:p>
        </w:tc>
        <w:tc>
          <w:tcPr>
            <w:tcW w:type="dxa" w:w="4320"/>
          </w:tcPr>
          <w:p>
            <w:r>
              <w:t>1.3888888888888888</w:t>
            </w:r>
          </w:p>
        </w:tc>
      </w:tr>
      <w:tr>
        <w:tc>
          <w:tcPr>
            <w:tcW w:type="dxa" w:w="4320"/>
          </w:tcPr>
          <w:p>
            <w:r>
              <w:t>Debt/Equity</w:t>
            </w:r>
          </w:p>
        </w:tc>
        <w:tc>
          <w:tcPr>
            <w:tcW w:type="dxa" w:w="4320"/>
          </w:tcPr>
          <w:p>
            <w:r>
              <w:t>1.35</w:t>
            </w:r>
          </w:p>
        </w:tc>
      </w:tr>
      <w:tr>
        <w:tc>
          <w:tcPr>
            <w:tcW w:type="dxa" w:w="4320"/>
          </w:tcPr>
          <w:p>
            <w:r>
              <w:t>Current Ratio</w:t>
            </w:r>
          </w:p>
        </w:tc>
        <w:tc>
          <w:tcPr>
            <w:tcW w:type="dxa" w:w="4320"/>
          </w:tcPr>
          <w:p>
            <w:r>
              <w:t>1.4</w:t>
            </w:r>
          </w:p>
        </w:tc>
      </w:tr>
      <w:tr>
        <w:tc>
          <w:tcPr>
            <w:tcW w:type="dxa" w:w="4320"/>
          </w:tcPr>
          <w:p>
            <w:r>
              <w:t>GST-Banking Ratio</w:t>
            </w:r>
          </w:p>
        </w:tc>
        <w:tc>
          <w:tcPr>
            <w:tcW w:type="dxa" w:w="4320"/>
          </w:tcPr>
          <w:p>
            <w:r>
              <w:t>4012041.6895</w:t>
            </w:r>
          </w:p>
        </w:tc>
      </w:tr>
      <w:tr>
        <w:tc>
          <w:tcPr>
            <w:tcW w:type="dxa" w:w="4320"/>
          </w:tcPr>
          <w:p>
            <w:r>
              <w:t>Consistency Score</w:t>
            </w:r>
          </w:p>
        </w:tc>
        <w:tc>
          <w:tcPr>
            <w:tcW w:type="dxa" w:w="4320"/>
          </w:tcPr>
          <w:p>
            <w:r>
              <w:t>39.0</w:t>
            </w:r>
          </w:p>
        </w:tc>
      </w:tr>
    </w:tbl>
    <w:p>
      <w:pPr>
        <w:pStyle w:val="Heading1"/>
      </w:pPr>
      <w:r>
        <w:t>SECTION 5: RISK ASSESSMENT</w:t>
      </w:r>
    </w:p>
    <w:p>
      <w:r>
        <w:t>Consolidated Risk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bl>
    <w:p>
      <w:r>
        <w:t>Overall data consistency score: 39.0</w:t>
      </w:r>
    </w:p>
    <w:p>
      <w:pPr>
        <w:pStyle w:val="Heading1"/>
      </w:pPr>
      <w:r>
        <w:t>SECTION 6: RESEARCH FINDINGS</w:t>
      </w:r>
    </w:p>
    <w:p>
      <w:r>
        <w:t>**Section 6 — Research Findings**</w:t>
        <w:br/>
        <w:br/>
        <w:t>**Company:** Vardhaman Agri Processing Ltd</w:t>
        <w:br/>
        <w:br/>
        <w:t>**Research Verdict:** LOW_RISK</w:t>
        <w:br/>
        <w:t>**Score Impact:** -1.0</w:t>
        <w:br/>
        <w:br/>
        <w:t>**Findings:**</w:t>
        <w:br/>
        <w:br/>
        <w:t>**Critical Negatives:**</w:t>
        <w:br/>
        <w:t>1. **Commercial Recovery Suit:** A single commercial recovery suit has been filed by a packaging vendor against Vardhaman Agri Processing Ltd. The matter is currently under mediation. While this is a single instance and the company is actively engaged in resolving the issue, it does introduce a potential risk of financial loss or legal complications. (Source: eCourts (Mock))</w:t>
        <w:br/>
        <w:br/>
        <w:t>**Sector Context:**</w:t>
        <w:br/>
        <w:t>2. **Stable Agri Processing Sector:** The agri-processing sector is expected to remain stable with moderate margin pressure due to logistics costs. This sector context suggests that while there may be some operational challenges, the overall stability of the sector mitigates some of the risks. (Source: Sector Pulse (Mock))</w:t>
        <w:br/>
        <w:br/>
        <w:t>**Regulatory Compliance:**</w:t>
        <w:br/>
        <w:t>3. **MCA Compliance:** MCA records indicate a healthy filing history with no struck-off associations. This demonstrates that the company maintains good corporate governance and regulatory compliance, which is a positive indicator. (Source: MCA)</w:t>
        <w:br/>
        <w:br/>
        <w:t>**Regulatory Environment:**</w:t>
        <w:br/>
        <w:t>4. **No Direct Enforcement Actions:** No direct enforcement actions from the Reserve Bank of India (RBI) or Securities and Exchange Board of India (SEBI) have been identified in the sampled sources. This absence of regulatory scrutiny further supports the company's adherence to regulatory norms and standards. (Source: Regulatory Intel)</w:t>
        <w:br/>
        <w:br/>
        <w:t>**Risk Implications for Sanction Decision:**</w:t>
        <w:br/>
        <w:t>The single commercial recovery suit, while a concern, is not likely to significantly impact the company's financial health given its current operational stability and regulatory compliance. The sector's expected stability and the company's adherence to regulatory norms further support a low-risk assessment. The score impact of -1.0 reflects the presence of the single recovery suit, but the overall positive factors outweigh this negative.</w:t>
        <w:br/>
        <w:br/>
        <w:t>In conclusion, the company's strong compliance record, stable sector outlook, and lack of regulatory issues support a LOW_RISK classification. The single recovery suit, though a concern, does not substantially alter this assessment. The company is advised to continue monitoring the recovery suit and address any potential legal or financial implications proactively.</w:t>
      </w:r>
    </w:p>
    <w:p/>
    <w:p>
      <w:pPr>
        <w:pStyle w:val="Heading2"/>
      </w:pPr>
      <w:r>
        <w:t>Source Highlights</w:t>
      </w:r>
    </w:p>
    <w:p>
      <w:r>
        <w:t>[Severity.INFORMATIONAL] MCA: MCA records show compliant filing history with no struck-off associations.</w:t>
      </w:r>
    </w:p>
    <w:p>
      <w:r>
        <w:t>[Severity.MEDIUM] eCourts (Mock): One commercial recovery suit filed by a packaging vendor; matter under mediation.</w:t>
      </w:r>
    </w:p>
    <w:p>
      <w:r>
        <w:t>[Severity.LOW] Sector Pulse (Mock): Agri Processing sector expected to remain stable with moderate margin pressure due to logistics costs.</w:t>
      </w:r>
    </w:p>
    <w:p>
      <w:r>
        <w:t>[Severity.LOW] Regulatory Intel: No direct RBI/SEBI enforcement action found in sampled sources.</w:t>
      </w:r>
    </w:p>
    <w:p>
      <w:pPr>
        <w:pStyle w:val="Heading1"/>
      </w:pPr>
      <w:r>
        <w:t>SECTION 7: RECOMMENDATION</w:t>
      </w:r>
    </w:p>
    <w:p>
      <w:r>
        <w:t>Final credit score: 450.0/900</w:t>
      </w:r>
    </w:p>
    <w:p>
      <w:r>
        <w:t>Decision: REJECT</w:t>
      </w:r>
    </w:p>
    <w:p>
      <w:r>
        <w:t>Recommended loan amount: ₹0.00 crore</w:t>
      </w:r>
    </w:p>
    <w:p>
      <w:r>
        <w:t>Recommended interest rate: -1.00% p.a.</w:t>
      </w:r>
    </w:p>
    <w:p>
      <w:r>
        <w:t>Tenor: 36 months</w:t>
      </w:r>
    </w:p>
    <w:p>
      <w:r>
        <w:t>Decision validity window: 30 days (valid up to 2026-04-07)</w:t>
      </w:r>
    </w:p>
    <w:p>
      <w:r>
        <w:t>AI Explainability Note:</w:t>
      </w:r>
    </w:p>
    <w:p>
      <w:r>
        <w:t>The recommendation balances cashflow resilience against detected governance and compliance risks. DSCR is observed at 1.39x, GST ITC gap at 0.00%, and factory utilization at 65.0%. Positive drivers include: Gst Banking Ratio supports credit quality (impact +40120.417).; Average Bank Balance To Limit Ratio supports credit quality (impact +13542.849).; Cibil Commercial Score supports credit quality (impact +7.420). Key constraints include: no major negatives identified. Final recommendation therefore applies risk-adjusted exposure and pricing.</w:t>
      </w:r>
    </w:p>
    <w:p>
      <w:pPr>
        <w:pStyle w:val="Heading1"/>
      </w:pPr>
      <w:r>
        <w:t>SECTION 8: RISK MITIGANTS &amp; CONDITIONS</w:t>
      </w:r>
    </w:p>
    <w:p>
      <w:r>
        <w:t>- Monthly stock and receivable statements</w:t>
      </w:r>
    </w:p>
    <w:p>
      <w:r>
        <w:t>- Quarterly GST-banking reconciliation</w:t>
      </w:r>
    </w:p>
    <w:p>
      <w:r>
        <w:t>- DSCR floor covenant at 1.2x</w:t>
      </w:r>
    </w:p>
    <w:p>
      <w:pPr>
        <w:pStyle w:val="Heading1"/>
      </w:pPr>
      <w:r>
        <w:t>SECTION 9: ANNEXURES</w:t>
      </w:r>
    </w:p>
    <w:p>
      <w:r>
        <w:t>Annexure A: Raw financial data tables</w:t>
      </w:r>
    </w:p>
    <w:p>
      <w:r>
        <w:t>Annexure B: Research source URLs</w:t>
      </w:r>
    </w:p>
    <w:p>
      <w:r>
        <w:t>- https://www.mca.gov.in/content/mca/global/en/mca/master-data.html</w:t>
      </w:r>
    </w:p>
    <w:p>
      <w:r>
        <w:t>- https://ecourts.example/case/2024-cs-102</w:t>
      </w:r>
    </w:p>
    <w:p>
      <w:r>
        <w:t>- https://news.example/sector-outlook-agri-processing-2026</w:t>
      </w:r>
    </w:p>
    <w:p>
      <w:r>
        <w:t>- https://www.rbi.org.in/</w:t>
      </w:r>
    </w:p>
    <w:p>
      <w:r>
        <w:t>Annexure C: SHAP explanation chart (placeholder)</w:t>
      </w:r>
    </w:p>
    <w:p>
      <w:r>
        <w:t>SHAP top factors: gst_banking_ratio, average_bank_balance_to_limit_ratio, cibil_commercial_score, itr_gst_consistency_score, mca_filing_compliance_score, gst_return_filing_consistency, factory_capacity_utilization, ebitda_margin, collateral_type_score, management_integrity_score</w:t>
      </w:r>
    </w:p>
    <w:p>
      <w:r>
        <w:t>Annexure D: Glossary of Indian credit terms</w:t>
      </w:r>
    </w:p>
    <w:p>
      <w:r>
        <w:t>Annexure E: Decision Traceability and Governance</w:t>
      </w:r>
    </w:p>
    <w:p>
      <w:r>
        <w:t>CAM generation date: 2026-03-08</w:t>
      </w:r>
    </w:p>
    <w:p>
      <w:r>
        <w:t>Model stack: Rules + ML calibration + explainability narrative</w:t>
      </w:r>
    </w:p>
    <w:p>
      <w:r>
        <w:t>Total web-research findings considered: 4</w:t>
      </w:r>
    </w:p>
    <w:p>
      <w:r>
        <w:t>Human-in-the-loop adjustment from due diligence: +0.0</w:t>
      </w:r>
    </w:p>
    <w:p>
      <w:r>
        <w:t>Final decision score delta from human input: +0.0 points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3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