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2026-03-08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Vedanta Limited | CIN: None | Sector: agri_processing</w:t>
      </w:r>
    </w:p>
    <w:p>
      <w:r>
        <w:t>Loan Request: ₹30.00 crore | Tenor: 36 months | Purpose: working_capital</w:t>
      </w:r>
    </w:p>
    <w:p>
      <w:r>
        <w:rPr>
          <w:b/>
        </w:rPr>
        <w:t>Recommendation: REJECT | Limit: Not Sanctioned (Requested: ₹30.00 crore) | Rate: N/A</w:t>
      </w:r>
    </w:p>
    <w:p>
      <w:r>
        <w:t>Rejection reasons: going_concern_doubt, active_nclt, promoter_fraud_confirmed, severe_gst_mismatch</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Vedanta Limited].</w:t>
      </w:r>
    </w:p>
    <w:p>
      <w:pPr>
        <w:pStyle w:val="Heading2"/>
      </w:pPr>
      <w:r>
        <w:t>Borrower Clarifications (Finance Officer Input)</w:t>
      </w:r>
    </w:p>
    <w:p>
      <w:r>
        <w:t>Primary respondent: Ajay Goel (Chief Finance Officer)</w:t>
      </w:r>
    </w:p>
    <w:p>
      <w:r>
        <w:t>Business highlights: Hindustan Zinc (subsidiary) holds &gt;75% domestic zinc market share. Lanjigarh is India's largest single-location alumina refinery. Oil &amp; Gas block (Rajasthan) produces ~1.5 lakh barrels/day. Demerger into 5 listed entities filed with NCLT — unlocks conglomerate discount.</w:t>
      </w:r>
    </w:p>
    <w:p>
      <w:r>
        <w:t>Borrower-declared risks: LME commodity price volatility (zinc -18%, aluminium -12% in FY2024). Sterlite Tuticorin restart pending Supreme Court direction. Vedanta Resources (UK parent) completed debt restructuring — residual parent obligations could require VedL dividend upstreaming. FY2025 bond maturities of ₹8,500 Cr being refinanced via ECB + NCD.</w:t>
      </w:r>
    </w:p>
    <w:p>
      <w:r>
        <w:t>Declared capacity utilization: 70.0%</w:t>
      </w:r>
    </w:p>
    <w:p>
      <w:pPr>
        <w:pStyle w:val="Heading1"/>
      </w:pPr>
      <w:r>
        <w:t>SECTION 3: THE FIVE Cs ANALYSIS</w:t>
      </w:r>
    </w:p>
    <w:p>
      <w:pPr>
        <w:pStyle w:val="Heading2"/>
      </w:pPr>
      <w:r>
        <w:t>3.1 Character</w:t>
      </w:r>
    </w:p>
    <w:p>
      <w:r>
        <w:t>Score: 2.0/10 | Risk Level: HIGH</w:t>
      </w:r>
    </w:p>
    <w:p>
      <w:pPr>
        <w:pStyle w:val="Heading2"/>
      </w:pPr>
      <w:r>
        <w:t>3.2 Capacity</w:t>
      </w:r>
    </w:p>
    <w:p>
      <w:r>
        <w:t>Score: 8.6/10 | Risk Level: LOW</w:t>
      </w:r>
    </w:p>
    <w:p>
      <w:pPr>
        <w:pStyle w:val="Heading2"/>
      </w:pPr>
      <w:r>
        <w:t>3.3 Capital</w:t>
      </w:r>
    </w:p>
    <w:p>
      <w:r>
        <w:t>Score: 1.0/10 | Risk Level: HIGH</w:t>
      </w:r>
    </w:p>
    <w:p>
      <w:pPr>
        <w:pStyle w:val="Heading2"/>
      </w:pPr>
      <w:r>
        <w:t>3.4 Collateral</w:t>
      </w:r>
    </w:p>
    <w:p>
      <w:r>
        <w:t>Score: 7.73/10 | Risk Level: LOW</w:t>
      </w:r>
    </w:p>
    <w:p>
      <w:pPr>
        <w:pStyle w:val="Heading2"/>
      </w:pPr>
      <w:r>
        <w:t>3.5 Conditions</w:t>
      </w:r>
    </w:p>
    <w:p>
      <w:r>
        <w:t>Score: 1.0/10 | Risk Level: HIGH</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2.011111111111111</w:t>
            </w:r>
          </w:p>
        </w:tc>
      </w:tr>
      <w:tr>
        <w:tc>
          <w:tcPr>
            <w:tcW w:type="dxa" w:w="4320"/>
          </w:tcPr>
          <w:p>
            <w:r>
              <w:t>Debt/Equity</w:t>
            </w:r>
          </w:p>
        </w:tc>
        <w:tc>
          <w:tcPr>
            <w:tcW w:type="dxa" w:w="4320"/>
          </w:tcPr>
          <w:p>
            <w:r>
              <w:t>12.906</w:t>
            </w:r>
          </w:p>
        </w:tc>
      </w:tr>
      <w:tr>
        <w:tc>
          <w:tcPr>
            <w:tcW w:type="dxa" w:w="4320"/>
          </w:tcPr>
          <w:p>
            <w:r>
              <w:t>Current Ratio</w:t>
            </w:r>
          </w:p>
        </w:tc>
        <w:tc>
          <w:tcPr>
            <w:tcW w:type="dxa" w:w="4320"/>
          </w:tcPr>
          <w:p>
            <w:r>
              <w:t>0.96</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Going Concern Doubt weakens credit quality (impact +1.286).</w:t>
            </w:r>
          </w:p>
        </w:tc>
        <w:tc>
          <w:tcPr>
            <w:tcW w:type="dxa" w:w="2880"/>
          </w:tcPr>
          <w:p>
            <w:r>
              <w:t>Medium/High</w:t>
            </w:r>
          </w:p>
        </w:tc>
        <w:tc>
          <w:tcPr>
            <w:tcW w:type="dxa" w:w="2880"/>
          </w:tcPr>
          <w:p>
            <w:r>
              <w:t>Quarterly covenant tracking and early warning triggers.</w:t>
            </w:r>
          </w:p>
        </w:tc>
      </w:tr>
      <w:tr>
        <w:tc>
          <w:tcPr>
            <w:tcW w:type="dxa" w:w="2880"/>
          </w:tcPr>
          <w:p>
            <w:r>
              <w:t>Has Nclt Proceedings weakens credit quality (impact +0.934).</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+0.706).</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**Company: Vedanta Limited**</w:t>
        <w:br/>
        <w:br/>
        <w:t>**Research Verdict: HIGH_RISK**</w:t>
        <w:br/>
        <w:t>**Score Impact: -1251.0**</w:t>
        <w:br/>
        <w:br/>
        <w:t>**Critical Negatives:**</w:t>
        <w:br/>
        <w:br/>
        <w:t>1. **Environmental Liability (SLP(C) No. 14812/2019):** Vedanta Limited is facing a significant environmental liability of ₹25,000 crore as per the Supreme Court's order. The case is pending, and the company is yet to resolve this issue. This liability poses a substantial financial risk and could lead to severe operational disruptions and legal penalties.</w:t>
        <w:br/>
        <w:br/>
        <w:t>2. **Mining Lease Dispute (NCLT):** The Goa mining lease dispute, where the government is seeking the forfeiture of mining rights, is another critical issue. This dispute could result in the loss of valuable mining assets, impacting the company's revenue streams and operational stability.</w:t>
        <w:br/>
        <w:br/>
        <w:t>3. **NCLT Hearing on Vedanta Limited:** The NCLT hearing highlighted significant governance failures and financial risks, with the Government of India accusing Vedanta Limited of misrepresentation and breaches of law. This underscores the company's ongoing legal and regulatory challenges.</w:t>
        <w:br/>
        <w:br/>
        <w:t>4. **GST Fraud Allegations:** Vedanta Limited is under scrutiny for alleged involvement in GST fraud, fake invoicing, and circular trading. These allegations, if substantiated, could lead to the retrospective cancellation of GST registration, disallowance of Input Tax Credit (ITC), and potential legal action. This poses a significant risk to the company's financial health and operational continuity.</w:t>
        <w:br/>
        <w:br/>
        <w:t>**High-Risk Issues:**</w:t>
        <w:br/>
        <w:br/>
        <w:t>1. **NCLT Approval for Vedanta's Demerger Plan:** While the demerger plan received NCLT approval, the process is fraught with complexities and uncertainties. The demerger aims to unlock value and improve operational efficiency but also requires clarity on debt allocation and capital structure, which are critical for valuation and financial stability.</w:t>
        <w:br/>
        <w:br/>
        <w:t>2. **Supreme Court Hearing on Vedanta:** A Public Interest Litigation seeks to compel SEBI and RBI to investigate Vedanta and recover $1.5 billion in brand fees remitted to its parent. This hearing could have far-reaching implications for the company's financial and regulatory standing.</w:t>
        <w:br/>
        <w:br/>
        <w:t>**Informational Positives:**</w:t>
        <w:br/>
        <w:br/>
        <w:t>1. **MCA Compliance:** Vedanta Limited has a healthy MCA filing history with no struck-off associations, indicating adherence to regulatory requirements.</w:t>
        <w:br/>
        <w:br/>
        <w:t>2. **NCLT Approval for Vedanta Demerger:** The NCLT approval for the demerger into four independent, pure-play businesses marks a key milestone in the company's transformation, although the execution and debt allocation remain critical.</w:t>
        <w:br/>
        <w:br/>
        <w:t>3. **Employee Continuity:** The NCLT directed that all employees engaged in the Merchant Power Undertaking will become employees of TSPL without any break or interruption in service and on terms not less favourable than their current employment. This ensures employee continuity and stability.</w:t>
        <w:br/>
        <w:br/>
        <w:t>4. **NCLT Approval for Incab Industries Resolution Plan:** The NCLT Kolkata Bench approved Vedanta Limited’s ₹545-crore resolution plan for the revival of Incab Industries Limited, subject to compliance with certain conditions. This is a positive step towards resolving the company's financial distress.</w:t>
        <w:br/>
        <w:br/>
        <w:t>**Risk Implications for Sanction Decision:**</w:t>
        <w:br/>
        <w:br/>
        <w:t>The critical and high-risk issues, particularly the environmental liability, mining lease dispute, and GST fraud allegations, pose significant financial and operational risks. These issues could lead to substantial financial penalties, legal actions, and operational disruptions. The demerger process, while promising, also introduces complexities in debt allocation and capital structure, which need to be carefully managed.</w:t>
        <w:br/>
        <w:br/>
        <w:t>Given the high-risk profile and the potential for significant financial and operational challenges, the credit appraisal memo recommends a cautious approach to sanctioning any credit facilities to Vedanta Limited. The bank should closely monitor the resolution of the critical issues and ensure that the demerger process is executed without further complications.</w:t>
      </w:r>
    </w:p>
    <w:p/>
    <w:p>
      <w:pPr>
        <w:pStyle w:val="Heading2"/>
      </w:pPr>
      <w:r>
        <w:t>Source Highlights</w:t>
      </w:r>
    </w:p>
    <w:p>
      <w:r>
        <w:t>[Severity.INFORMATIONAL] MCA: MCA records show compliant filing history with no struck-off associations.</w:t>
      </w:r>
    </w:p>
    <w:p>
      <w:r>
        <w:t>[Severity.CRITICAL] eCourts (Mock): SLP(C) No. 14812/2019 — Sterlite Copper environmental liability. Supreme Court. Amount: ₹25,000 Cr+. Status: Pending.</w:t>
      </w:r>
    </w:p>
    <w:p>
      <w:r>
        <w:t>[Severity.HIGH] eCourts (Mock): Vedanta: Goa mining lease dispute at NCLT — government seeking forfeiture of mining rights.</w:t>
      </w:r>
    </w:p>
    <w:p>
      <w:r>
        <w:t>[Severity.INFORMATIONAL] Vedantalimited: Vedanta Limited received NCLT approval for its demerger into four independent, pure-play businesses, marking a key milestone in the company's transformation.</w:t>
      </w:r>
    </w:p>
    <w:p>
      <w:r>
        <w:t>[Severity.HIGH] Whalesbook: Vedanta Limited received approval from the National Company Law Tribunal (NCLT) to demerge into five separate listed entities, a move aimed at unlocking value and improving operational efficiency. The shares of Vedanta saw a positive surge of 3.5% following the announcement.</w:t>
      </w:r>
    </w:p>
    <w:p>
      <w:r>
        <w:t>[Severity.LOW] Msn: The National Company Law Tribunal (NCLT) has approved the Scheme of Arrangement involving Vedanta Limited and its subsidiary, Talwandi Sabo Power Limited, which includes restructuring and demerger of the Merchant Power Undertaking.</w:t>
      </w:r>
    </w:p>
    <w:p>
      <w:r>
        <w:t>[Severity.MEDIUM] Msn: The net worth of Talwandi Sabo Power is projected to increase from Rs 3,606 crore to Rs 8,207 crore post-demerger, while Vedanta Limited’s net worth is estimated to decrease from Rs 46,533 crore to Rs 43,230 crore.</w:t>
      </w:r>
    </w:p>
    <w:p>
      <w:r>
        <w:t>[Severity.LOW] Msn: The NCLT directed that all employees engaged in the Merchant Power Undertaking will become employees of TSPL without any break or interruption in service and on terms not less favourable than their current employment.</w:t>
      </w:r>
    </w:p>
    <w:p>
      <w:r>
        <w:t>[Severity.LOW] 24Law: The National Company Law Tribunal (NCLT), Kolkata Bench, has approved Vedanta Limited’s ₹545-crore resolution plan for the revival of Incab Industries Limited, subject to compliance with certain conditions.</w:t>
      </w:r>
    </w:p>
    <w:p>
      <w:r>
        <w:t>[Severity.LOW] Barandbench: The National Company Law Tribunal (NCLT) Mumbai bench approved Vedanta Limited's revised demerger scheme, dismissing objections raised by the Ministry of Petroleum and Natural Gas regarding asset disclosures and financial risks.</w:t>
      </w:r>
    </w:p>
    <w:p>
      <w:pPr>
        <w:pStyle w:val="Heading1"/>
      </w:pPr>
      <w:r>
        <w:t>SECTION 7: RECOMMENDATION</w:t>
      </w:r>
    </w:p>
    <w:p>
      <w:r>
        <w:t>Final credit score: 450.0/900</w:t>
      </w:r>
    </w:p>
    <w:p>
      <w:r>
        <w:t>Decision: REJECT</w:t>
      </w:r>
    </w:p>
    <w:p>
      <w:r>
        <w:t>Recommended loan amount: ₹30.00 crore</w:t>
      </w:r>
    </w:p>
    <w:p>
      <w:r>
        <w:t>Recommended interest rate: 11.50% p.a.</w:t>
      </w:r>
    </w:p>
    <w:p>
      <w:r>
        <w:t>Tenor: 36 months</w:t>
      </w:r>
    </w:p>
    <w:p>
      <w:r>
        <w:t>Decision validity window: 30 days (valid up to 2026-04-07)</w:t>
      </w:r>
    </w:p>
    <w:p>
      <w:r>
        <w:t>Borrower interaction adjustment applied in scoring: -24.0</w:t>
      </w:r>
    </w:p>
    <w:p>
      <w:r>
        <w:t>AI Explainability Note:</w:t>
      </w:r>
    </w:p>
    <w:p>
      <w:r>
        <w:t>The recommendation balances cashflow resilience against detected governance and compliance risks. DSCR is observed at 2.01x, GST ITC gap at 29.30%, and factory utilization at 70.0%. Positive drivers include: Interest Coverage Ratio supports credit quality (impact +0.109).; Due Diligence Risk Adjustment reduces risk concern (impact -0.096).; Gst Return Filing Consistency supports credit quality (impact +0.091). Key constraints include: Has Going Concern Doubt weakens credit quality (impact +1.286).; Has Nclt Proceedings weakens credit quality (impact +0.934).; Has Promoter Fraud News weakens credit quality (impact +0.706).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https://main.sci.gov.in/supremecourt/2019/14812</w:t>
      </w:r>
    </w:p>
    <w:p>
      <w:r>
        <w:t>- https://ecourts.example/vedanta-nclt-goa</w:t>
      </w:r>
    </w:p>
    <w:p>
      <w:r>
        <w:t>- https://www.vedantalimited.com/public/uploads/17080/Press-Release---Vedanta-Demerger.pdf</w:t>
      </w:r>
    </w:p>
    <w:p>
      <w:r>
        <w:t>- https://www.whalesbook.com/news/English/industrial-goodsservices/BHIVE-Bags-indian-rupee400-Crore-Pre-IPO-Funding-Are-They-Indias-Next-Big-Stock-Market-Star/69413257a3d7cdf72fc70bf5</w:t>
      </w:r>
    </w:p>
    <w:p>
      <w:r>
        <w:t>- https://www.msn.com/en-in/money/topstories/vedanta-demerger-nclt-approves-talwandi-sabo-power-scheme/ar-AA1TVZ5c?apiversion=v2&amp;domshim=1&amp;noservercache=1&amp;noservertelemetry=1&amp;batchservertelemetry=1&amp;renderwebcomponents=1&amp;wcseo=1</w:t>
      </w:r>
    </w:p>
    <w:p>
      <w:r>
        <w:t>- https://www.msn.com/en-in/money/topstories/vedanta-demerger-nclt-approves-talwandi-sabo-power-scheme/ar-AA1TVZ5c?apiversion=v2&amp;domshim=1&amp;noservercache=1&amp;noservertelemetry=1&amp;batchservertelemetry=1&amp;renderwebcomponents=1&amp;wcseo=1</w:t>
      </w:r>
    </w:p>
    <w:p>
      <w:r>
        <w:t>- https://www.msn.com/en-in/money/topstories/vedanta-demerger-nclt-approves-talwandi-sabo-power-scheme/ar-AA1TVZ5c?apiversion=v2&amp;domshim=1&amp;noservercache=1&amp;noservertelemetry=1&amp;batchservertelemetry=1&amp;renderwebcomponents=1&amp;wcseo=1</w:t>
      </w:r>
    </w:p>
    <w:p>
      <w:r>
        <w:t>- https://24law.in/story/nclt-kolkata-approves-vedanta-s-545-crore-resolution-plan-for-revival-of-incab-industries</w:t>
      </w:r>
    </w:p>
    <w:p>
      <w:r>
        <w:t>- https://www.barandbench.com/news/nclt-approves-revised-demerger-scheme-of-vedanta</w:t>
      </w:r>
    </w:p>
    <w:p>
      <w:r>
        <w:t>- https://viceroyresearch.org/publications/vedanta-nclt-hearing-update</w:t>
      </w:r>
    </w:p>
    <w:p>
      <w:r>
        <w:t>- https://viceroyresearch.org/publications/vedanta-nclt-hearing-update</w:t>
      </w:r>
    </w:p>
    <w:p>
      <w:r>
        <w:t>- https://www.plindia.com/news/vedanta-nclt-approval-whats-next-after-demerger-nod-pl-capital/</w:t>
      </w:r>
    </w:p>
    <w:p>
      <w:r>
        <w:t>- https://www.plindia.com/news/vedanta-nclt-approval-whats-next-after-demerger-nod-pl-capital/</w:t>
      </w:r>
    </w:p>
    <w:p>
      <w:r>
        <w:t>- https://www.plindia.com/news/vedanta-nclt-approval-whats-next-after-demerger-nod-pl-capital/</w:t>
      </w:r>
    </w:p>
    <w:p>
      <w:r>
        <w:t>- https://www.cnbctv18.com/market/vedanta-gets-nclt-nod-for-demerger-scheme-with-talwandi-sabo-power-ws-l-19818178.htm</w:t>
      </w:r>
    </w:p>
    <w:p>
      <w:r>
        <w:t>- https://www.taxmann.com/post/blog/fate-of-gst-itc-after-retrospective-cancellation-of-vendor-registration</w:t>
      </w:r>
    </w:p>
    <w:p>
      <w:r>
        <w:t>- https://www.scribd.com/document/968866043/Judgment-Where-the-Court-Has-Asked-the-Party-to-Give-the-Minum-10-Days-Notice-Before-Encashing-the-BG</w:t>
      </w:r>
    </w:p>
    <w:p>
      <w:r>
        <w:t>- https://shunyatax.in/blogs/news?page=28</w:t>
      </w:r>
    </w:p>
    <w:p>
      <w:r>
        <w:t>- https://www.taxscan.in/top-stories/annual-tax-corporate-law-digest-2025-complete-high-court-cases-part-xi-1440446</w:t>
      </w:r>
    </w:p>
    <w:p>
      <w:r>
        <w:t>Annexure C: SHAP explanation chart (placeholder)</w:t>
      </w:r>
    </w:p>
    <w:p>
      <w:r>
        <w:t>SHAP top factors: has_going_concern_doubt, has_nclt_proceedings, has_promoter_fraud_news, dscr, gstr3b_vs_2a_itc_gap, management_integrity_score, gst_banking_ratio, debt_equity_ratio, interest_coverage_ratio, itr_gst_consistency_score</w:t>
      </w:r>
    </w:p>
    <w:p>
      <w:r>
        <w:t>Annexure D: Glossary of Indian credit terms</w:t>
      </w:r>
    </w:p>
    <w:p>
      <w:r>
        <w:t>Annexure E: Decision Traceability and Governance</w:t>
      </w:r>
    </w:p>
    <w:p>
      <w:r>
        <w:t>CAM generation date: 2026-03-08</w:t>
      </w:r>
    </w:p>
    <w:p>
      <w:r>
        <w:t>Model stack: Rules + ML calibration + explainability narrative</w:t>
      </w:r>
    </w:p>
    <w:p>
      <w:r>
        <w:t>Total web-research findings considered: 77</w:t>
      </w:r>
    </w:p>
    <w:p>
      <w:r>
        <w:t>Human-in-the-loop adjustment from due diligence: -24.0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