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F4E79"/>
          <w:sz w:val="36"/>
          <w:szCs w:val="36"/>
        </w:rPr>
        <w:t xml:space="preserve">BHARAT INDUSTRIES LIMITED</w:t>
      </w:r>
    </w:p>
    <w:p>
      <w:pPr>
        <w:spacing w:before="0" w:after="200"/>
        <w:jc w:val="center"/>
      </w:pPr>
      <w:r>
        <w:rPr>
          <w:rFonts w:ascii="Arial" w:cs="Arial" w:eastAsia="Arial" w:hAnsi="Arial"/>
          <w:color w:val="595959"/>
          <w:sz w:val="22"/>
          <w:szCs w:val="22"/>
        </w:rPr>
        <w:t xml:space="preserve">Annual Report FY 2024-25 | CIN: L27100MH2005PLC154231</w:t>
      </w:r>
    </w:p>
    <w:p>
      <w:pPr>
        <w:pBdr>
          <w:bottom w:val="single" w:color="2E75B6" w:sz="4" w:space="1"/>
        </w:pBdr>
        <w:spacing w:before="120" w:after="120"/>
      </w:pPr>
    </w:p>
    <w:p>
      <w:pPr>
        <w:pStyle w:val="Heading1"/>
        <w:spacing w:before="200" w:after="120"/>
      </w:pPr>
      <w:r>
        <w:rPr>
          <w:rFonts w:ascii="Arial" w:cs="Arial" w:eastAsia="Arial" w:hAnsi="Arial"/>
          <w:b/>
          <w:bCs/>
          <w:color w:val="1F4E79"/>
          <w:sz w:val="28"/>
          <w:szCs w:val="28"/>
        </w:rPr>
        <w:t xml:space="preserve">Corporate Overview</w:t>
      </w:r>
    </w:p>
    <w:p>
      <w:pPr>
        <w:spacing w:before="80" w:after="80"/>
        <w:jc w:val="left"/>
      </w:pPr>
      <w:r>
        <w:rPr>
          <w:rFonts w:ascii="Arial" w:cs="Arial" w:eastAsia="Arial" w:hAnsi="Arial"/>
          <w:b w:val="false"/>
          <w:bCs w:val="false"/>
          <w:i w:val="false"/>
          <w:iCs w:val="false"/>
          <w:color w:val="000000"/>
          <w:sz w:val="20"/>
          <w:szCs w:val="20"/>
        </w:rPr>
        <w:t xml:space="preserve">Bharat Industries Limited (BIL) is one of India's leading manufacturers of precision auto-components and industrial engineering products. Incorporated in 2005 and headquartered in Pune, Maharashtra, BIL serves marquee OEM clients across the automobile, heavy engineering, and defence sectors. With 7 state-of-the-art manufacturing facilities spread across Maharashtra, Tamil Nadu, Gujarat and Rajasthan, the Company has a combined installed capacity of 2.8 million units per annum.</w:t>
      </w:r>
    </w:p>
    <w:p>
      <w:pPr>
        <w:spacing w:before="80" w:after="80"/>
        <w:jc w:val="left"/>
      </w:pPr>
      <w:r>
        <w:rPr>
          <w:rFonts w:ascii="Arial" w:cs="Arial" w:eastAsia="Arial" w:hAnsi="Arial"/>
          <w:b w:val="false"/>
          <w:bCs w:val="false"/>
          <w:i w:val="false"/>
          <w:iCs w:val="false"/>
          <w:color w:val="000000"/>
          <w:sz w:val="20"/>
          <w:szCs w:val="20"/>
        </w:rPr>
        <w:t xml:space="preserve">BIL is listed on BSE (Scrip Code: 532981) and NSE (Symbol: BHARATIND). The Company employs over 12,400 professionals and has an extensive distribution network encompassing 28 states and 4 Union Territories in India, with exports to 34 countries.</w:t>
      </w:r>
    </w:p>
    <w:p>
      <w:pPr>
        <w:pBdr>
          <w:bottom w:val="single" w:color="2E75B6" w:sz="4" w:space="1"/>
        </w:pBdr>
        <w:spacing w:before="120" w:after="120"/>
      </w:pPr>
    </w:p>
    <w:p>
      <w:pPr>
        <w:pStyle w:val="Heading1"/>
        <w:spacing w:before="200" w:after="120"/>
      </w:pPr>
      <w:r>
        <w:rPr>
          <w:rFonts w:ascii="Arial" w:cs="Arial" w:eastAsia="Arial" w:hAnsi="Arial"/>
          <w:b/>
          <w:bCs/>
          <w:color w:val="1F4E79"/>
          <w:sz w:val="28"/>
          <w:szCs w:val="28"/>
        </w:rPr>
        <w:t xml:space="preserve">Message from the Chairman &amp; Managing Director</w:t>
      </w:r>
    </w:p>
    <w:p>
      <w:pPr>
        <w:spacing w:before="80" w:after="80"/>
        <w:jc w:val="left"/>
      </w:pPr>
      <w:r>
        <w:rPr>
          <w:rFonts w:ascii="Arial" w:cs="Arial" w:eastAsia="Arial" w:hAnsi="Arial"/>
          <w:b/>
          <w:bCs/>
          <w:i w:val="false"/>
          <w:iCs w:val="false"/>
          <w:color w:val="000000"/>
          <w:sz w:val="20"/>
          <w:szCs w:val="20"/>
        </w:rPr>
        <w:t xml:space="preserve">Dear Shareholders,</w:t>
      </w:r>
    </w:p>
    <w:p>
      <w:pPr>
        <w:spacing w:before="80" w:after="80"/>
        <w:jc w:val="left"/>
      </w:pPr>
      <w:r>
        <w:rPr>
          <w:rFonts w:ascii="Arial" w:cs="Arial" w:eastAsia="Arial" w:hAnsi="Arial"/>
          <w:b w:val="false"/>
          <w:bCs w:val="false"/>
          <w:i w:val="false"/>
          <w:iCs w:val="false"/>
          <w:color w:val="000000"/>
          <w:sz w:val="20"/>
          <w:szCs w:val="20"/>
        </w:rPr>
        <w:t xml:space="preserve">It gives me immense pleasure to present the 20th Annual Report of Bharat Industries Limited. Fiscal year 2024-25 has been a landmark year for your Company. Despite a challenging macro-economic environment characterised by elevated input costs, global supply chain disruptions, and geopolitical uncertainties, BIL delivered its strongest-ever financial performance.</w:t>
      </w:r>
    </w:p>
    <w:p>
      <w:pPr>
        <w:spacing w:before="80" w:after="80"/>
        <w:jc w:val="left"/>
      </w:pPr>
      <w:r>
        <w:rPr>
          <w:rFonts w:ascii="Arial" w:cs="Arial" w:eastAsia="Arial" w:hAnsi="Arial"/>
          <w:b w:val="false"/>
          <w:bCs w:val="false"/>
          <w:i w:val="false"/>
          <w:iCs w:val="false"/>
          <w:color w:val="000000"/>
          <w:sz w:val="20"/>
          <w:szCs w:val="20"/>
        </w:rPr>
        <w:t xml:space="preserve">Revenue from operations grew by 16.2% to reach ₹5,135 crore, while our EBITDA margin expanded by 70 basis points to 22.6%. Our focused investments in R&amp;D, automation, and capacity expansion are yielding strong results, positioning BIL as a preferred partner for the next generation of electric and hybrid vehicle platforms.</w:t>
      </w:r>
    </w:p>
    <w:p>
      <w:pPr>
        <w:spacing w:before="80" w:after="80"/>
        <w:jc w:val="left"/>
      </w:pPr>
      <w:r>
        <w:rPr>
          <w:rFonts w:ascii="Arial" w:cs="Arial" w:eastAsia="Arial" w:hAnsi="Arial"/>
          <w:b w:val="false"/>
          <w:bCs w:val="false"/>
          <w:i w:val="false"/>
          <w:iCs w:val="false"/>
          <w:color w:val="000000"/>
          <w:sz w:val="20"/>
          <w:szCs w:val="20"/>
        </w:rPr>
        <w:t xml:space="preserve">The Board has recommended a dividend of ₹14 per share (140%) for FY 2024-25, reflecting our confidence in the sustained earnings trajectory.</w:t>
      </w:r>
    </w:p>
    <w:p>
      <w:pPr>
        <w:spacing w:before="80" w:after="80"/>
        <w:jc w:val="left"/>
      </w:pPr>
      <w:r>
        <w:rPr>
          <w:rFonts w:ascii="Arial" w:cs="Arial" w:eastAsia="Arial" w:hAnsi="Arial"/>
          <w:b w:val="false"/>
          <w:bCs w:val="false"/>
          <w:i/>
          <w:iCs/>
          <w:color w:val="000000"/>
          <w:sz w:val="20"/>
          <w:szCs w:val="20"/>
        </w:rPr>
        <w:t xml:space="preserve">Warm regards,</w:t>
      </w:r>
    </w:p>
    <w:p>
      <w:pPr>
        <w:spacing w:before="80" w:after="80"/>
        <w:jc w:val="left"/>
      </w:pPr>
      <w:r>
        <w:rPr>
          <w:rFonts w:ascii="Arial" w:cs="Arial" w:eastAsia="Arial" w:hAnsi="Arial"/>
          <w:b/>
          <w:bCs/>
          <w:i w:val="false"/>
          <w:iCs w:val="false"/>
          <w:color w:val="000000"/>
          <w:sz w:val="20"/>
          <w:szCs w:val="20"/>
        </w:rPr>
        <w:t xml:space="preserve">Rajesh Kumar Sharma</w:t>
      </w:r>
    </w:p>
    <w:p>
      <w:pPr>
        <w:spacing w:before="80" w:after="80"/>
        <w:jc w:val="left"/>
      </w:pPr>
      <w:r>
        <w:rPr>
          <w:rFonts w:ascii="Arial" w:cs="Arial" w:eastAsia="Arial" w:hAnsi="Arial"/>
          <w:b w:val="false"/>
          <w:bCs w:val="false"/>
          <w:i/>
          <w:iCs/>
          <w:color w:val="595959"/>
          <w:sz w:val="20"/>
          <w:szCs w:val="20"/>
        </w:rPr>
        <w:t xml:space="preserve">Chairman &amp; Managing Director</w:t>
      </w:r>
    </w:p>
    <w:p>
      <w:pPr>
        <w:pBdr>
          <w:bottom w:val="single" w:color="2E75B6" w:sz="4" w:space="1"/>
        </w:pBdr>
        <w:spacing w:before="120" w:after="120"/>
      </w:pPr>
    </w:p>
    <w:p>
      <w:pPr>
        <w:pStyle w:val="Heading1"/>
        <w:spacing w:before="200" w:after="120"/>
      </w:pPr>
      <w:r>
        <w:rPr>
          <w:rFonts w:ascii="Arial" w:cs="Arial" w:eastAsia="Arial" w:hAnsi="Arial"/>
          <w:b/>
          <w:bCs/>
          <w:color w:val="1F4E79"/>
          <w:sz w:val="28"/>
          <w:szCs w:val="28"/>
        </w:rPr>
        <w:t xml:space="preserve">Five-Year Financial Highlights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1F4E79" w:sz="2"/>
              <w:left w:val="single" w:color="CCCCCC" w:sz="1"/>
              <w:bottom w:val="single" w:color="1F4E79" w:sz="2"/>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Financial Metric</w:t>
            </w:r>
          </w:p>
        </w:tc>
        <w:tc>
          <w:tcPr>
            <w:tcW w:type="dxa" w:w="1560"/>
            <w:tcBorders>
              <w:top w:val="single" w:color="1F4E79" w:sz="2"/>
              <w:left w:val="single" w:color="CCCCCC" w:sz="1"/>
              <w:bottom w:val="single" w:color="1F4E79" w:sz="2"/>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FY 2024-25</w:t>
            </w:r>
          </w:p>
        </w:tc>
        <w:tc>
          <w:tcPr>
            <w:tcW w:type="dxa" w:w="1560"/>
            <w:tcBorders>
              <w:top w:val="single" w:color="1F4E79" w:sz="2"/>
              <w:left w:val="single" w:color="CCCCCC" w:sz="1"/>
              <w:bottom w:val="single" w:color="1F4E79" w:sz="2"/>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FY 2023-24</w:t>
            </w:r>
          </w:p>
        </w:tc>
        <w:tc>
          <w:tcPr>
            <w:tcW w:type="dxa" w:w="1560"/>
            <w:tcBorders>
              <w:top w:val="single" w:color="1F4E79" w:sz="2"/>
              <w:left w:val="single" w:color="CCCCCC" w:sz="1"/>
              <w:bottom w:val="single" w:color="1F4E79" w:sz="2"/>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YoY Change</w:t>
            </w:r>
          </w:p>
        </w:tc>
      </w:tr>
      <w:tr>
        <w:tc>
          <w:tcPr>
            <w:tcW w:type="dxa" w:w="4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Revenue from Operations</w:t>
            </w:r>
          </w:p>
        </w:tc>
        <w:tc>
          <w:tcPr>
            <w:tcW w:type="dxa" w:w="15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₹5,135 Cr</w:t>
            </w:r>
          </w:p>
        </w:tc>
        <w:tc>
          <w:tcPr>
            <w:tcW w:type="dxa" w:w="15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₹4,420 Cr</w:t>
            </w:r>
          </w:p>
        </w:tc>
        <w:tc>
          <w:tcPr>
            <w:tcW w:type="dxa" w:w="15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val="false"/>
                <w:bCs w:val="false"/>
                <w:color w:val="375623"/>
                <w:sz w:val="18"/>
                <w:szCs w:val="18"/>
              </w:rPr>
              <w:t xml:space="preserve">+16.2%</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EBITDA</w:t>
            </w:r>
          </w:p>
        </w:tc>
        <w:tc>
          <w:tcPr>
            <w:tcW w:type="dxa" w:w="156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₹1,161 Cr</w:t>
            </w:r>
          </w:p>
        </w:tc>
        <w:tc>
          <w:tcPr>
            <w:tcW w:type="dxa" w:w="156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₹968 Cr</w:t>
            </w:r>
          </w:p>
        </w:tc>
        <w:tc>
          <w:tcPr>
            <w:tcW w:type="dxa" w:w="156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center"/>
            </w:pPr>
            <w:r>
              <w:rPr>
                <w:rFonts w:ascii="Arial" w:cs="Arial" w:eastAsia="Arial" w:hAnsi="Arial"/>
                <w:b w:val="false"/>
                <w:bCs w:val="false"/>
                <w:color w:val="375623"/>
                <w:sz w:val="18"/>
                <w:szCs w:val="18"/>
              </w:rPr>
              <w:t xml:space="preserve">+19.9%</w:t>
            </w:r>
          </w:p>
        </w:tc>
      </w:tr>
      <w:tr>
        <w:tc>
          <w:tcPr>
            <w:tcW w:type="dxa" w:w="4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EBITDA Margin</w:t>
            </w:r>
          </w:p>
        </w:tc>
        <w:tc>
          <w:tcPr>
            <w:tcW w:type="dxa" w:w="15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22.6%</w:t>
            </w:r>
          </w:p>
        </w:tc>
        <w:tc>
          <w:tcPr>
            <w:tcW w:type="dxa" w:w="15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21.9%</w:t>
            </w:r>
          </w:p>
        </w:tc>
        <w:tc>
          <w:tcPr>
            <w:tcW w:type="dxa" w:w="15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val="false"/>
                <w:bCs w:val="false"/>
                <w:color w:val="375623"/>
                <w:sz w:val="18"/>
                <w:szCs w:val="18"/>
              </w:rPr>
              <w:t xml:space="preserve">+70 bps</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Profit Before Tax</w:t>
            </w:r>
          </w:p>
        </w:tc>
        <w:tc>
          <w:tcPr>
            <w:tcW w:type="dxa" w:w="156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₹884 Cr</w:t>
            </w:r>
          </w:p>
        </w:tc>
        <w:tc>
          <w:tcPr>
            <w:tcW w:type="dxa" w:w="156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₹730 Cr</w:t>
            </w:r>
          </w:p>
        </w:tc>
        <w:tc>
          <w:tcPr>
            <w:tcW w:type="dxa" w:w="156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center"/>
            </w:pPr>
            <w:r>
              <w:rPr>
                <w:rFonts w:ascii="Arial" w:cs="Arial" w:eastAsia="Arial" w:hAnsi="Arial"/>
                <w:b w:val="false"/>
                <w:bCs w:val="false"/>
                <w:color w:val="375623"/>
                <w:sz w:val="18"/>
                <w:szCs w:val="18"/>
              </w:rPr>
              <w:t xml:space="preserve">+21.1%</w:t>
            </w:r>
          </w:p>
        </w:tc>
      </w:tr>
      <w:tr>
        <w:tc>
          <w:tcPr>
            <w:tcW w:type="dxa" w:w="4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Profit After Tax</w:t>
            </w:r>
          </w:p>
        </w:tc>
        <w:tc>
          <w:tcPr>
            <w:tcW w:type="dxa" w:w="15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₹663 Cr</w:t>
            </w:r>
          </w:p>
        </w:tc>
        <w:tc>
          <w:tcPr>
            <w:tcW w:type="dxa" w:w="15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₹547 Cr</w:t>
            </w:r>
          </w:p>
        </w:tc>
        <w:tc>
          <w:tcPr>
            <w:tcW w:type="dxa" w:w="15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val="false"/>
                <w:bCs w:val="false"/>
                <w:color w:val="375623"/>
                <w:sz w:val="18"/>
                <w:szCs w:val="18"/>
              </w:rPr>
              <w:t xml:space="preserve">+21.2%</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EPS (Basic)</w:t>
            </w:r>
          </w:p>
        </w:tc>
        <w:tc>
          <w:tcPr>
            <w:tcW w:type="dxa" w:w="156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₹55.25</w:t>
            </w:r>
          </w:p>
        </w:tc>
        <w:tc>
          <w:tcPr>
            <w:tcW w:type="dxa" w:w="156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₹45.58</w:t>
            </w:r>
          </w:p>
        </w:tc>
        <w:tc>
          <w:tcPr>
            <w:tcW w:type="dxa" w:w="156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center"/>
            </w:pPr>
            <w:r>
              <w:rPr>
                <w:rFonts w:ascii="Arial" w:cs="Arial" w:eastAsia="Arial" w:hAnsi="Arial"/>
                <w:b w:val="false"/>
                <w:bCs w:val="false"/>
                <w:color w:val="375623"/>
                <w:sz w:val="18"/>
                <w:szCs w:val="18"/>
              </w:rPr>
              <w:t xml:space="preserve">+21.2%</w:t>
            </w:r>
          </w:p>
        </w:tc>
      </w:tr>
      <w:tr>
        <w:tc>
          <w:tcPr>
            <w:tcW w:type="dxa" w:w="4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Total Assets</w:t>
            </w:r>
          </w:p>
        </w:tc>
        <w:tc>
          <w:tcPr>
            <w:tcW w:type="dxa" w:w="15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₹8,420 Cr</w:t>
            </w:r>
          </w:p>
        </w:tc>
        <w:tc>
          <w:tcPr>
            <w:tcW w:type="dxa" w:w="15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₹7,210 Cr</w:t>
            </w:r>
          </w:p>
        </w:tc>
        <w:tc>
          <w:tcPr>
            <w:tcW w:type="dxa" w:w="15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val="false"/>
                <w:bCs w:val="false"/>
                <w:color w:val="375623"/>
                <w:sz w:val="18"/>
                <w:szCs w:val="18"/>
              </w:rPr>
              <w:t xml:space="preserve">+16.8%</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Net Worth</w:t>
            </w:r>
          </w:p>
        </w:tc>
        <w:tc>
          <w:tcPr>
            <w:tcW w:type="dxa" w:w="156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₹4,850 Cr</w:t>
            </w:r>
          </w:p>
        </w:tc>
        <w:tc>
          <w:tcPr>
            <w:tcW w:type="dxa" w:w="156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₹4,187 Cr</w:t>
            </w:r>
          </w:p>
        </w:tc>
        <w:tc>
          <w:tcPr>
            <w:tcW w:type="dxa" w:w="156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center"/>
            </w:pPr>
            <w:r>
              <w:rPr>
                <w:rFonts w:ascii="Arial" w:cs="Arial" w:eastAsia="Arial" w:hAnsi="Arial"/>
                <w:b w:val="false"/>
                <w:bCs w:val="false"/>
                <w:color w:val="375623"/>
                <w:sz w:val="18"/>
                <w:szCs w:val="18"/>
              </w:rPr>
              <w:t xml:space="preserve">+15.8%</w:t>
            </w:r>
          </w:p>
        </w:tc>
      </w:tr>
      <w:tr>
        <w:tc>
          <w:tcPr>
            <w:tcW w:type="dxa" w:w="4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Debt/Equity Ratio</w:t>
            </w:r>
          </w:p>
        </w:tc>
        <w:tc>
          <w:tcPr>
            <w:tcW w:type="dxa" w:w="15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0.42x</w:t>
            </w:r>
          </w:p>
        </w:tc>
        <w:tc>
          <w:tcPr>
            <w:tcW w:type="dxa" w:w="15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0.52x</w:t>
            </w:r>
          </w:p>
        </w:tc>
        <w:tc>
          <w:tcPr>
            <w:tcW w:type="dxa" w:w="15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val="false"/>
                <w:bCs w:val="false"/>
                <w:color w:val="C00000"/>
                <w:sz w:val="18"/>
                <w:szCs w:val="18"/>
              </w:rPr>
              <w:t xml:space="preserve">Improved</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 on Equity</w:t>
            </w:r>
          </w:p>
        </w:tc>
        <w:tc>
          <w:tcPr>
            <w:tcW w:type="dxa" w:w="156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13.7%</w:t>
            </w:r>
          </w:p>
        </w:tc>
        <w:tc>
          <w:tcPr>
            <w:tcW w:type="dxa" w:w="156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13.1%</w:t>
            </w:r>
          </w:p>
        </w:tc>
        <w:tc>
          <w:tcPr>
            <w:tcW w:type="dxa" w:w="156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center"/>
            </w:pPr>
            <w:r>
              <w:rPr>
                <w:rFonts w:ascii="Arial" w:cs="Arial" w:eastAsia="Arial" w:hAnsi="Arial"/>
                <w:b w:val="false"/>
                <w:bCs w:val="false"/>
                <w:color w:val="375623"/>
                <w:sz w:val="18"/>
                <w:szCs w:val="18"/>
              </w:rPr>
              <w:t xml:space="preserve">+60 bps</w:t>
            </w:r>
          </w:p>
        </w:tc>
      </w:tr>
      <w:tr>
        <w:tc>
          <w:tcPr>
            <w:tcW w:type="dxa" w:w="4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Dividend per Share</w:t>
            </w:r>
          </w:p>
        </w:tc>
        <w:tc>
          <w:tcPr>
            <w:tcW w:type="dxa" w:w="15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₹14.00</w:t>
            </w:r>
          </w:p>
        </w:tc>
        <w:tc>
          <w:tcPr>
            <w:tcW w:type="dxa" w:w="15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₹11.00</w:t>
            </w:r>
          </w:p>
        </w:tc>
        <w:tc>
          <w:tcPr>
            <w:tcW w:type="dxa" w:w="15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val="false"/>
                <w:bCs w:val="false"/>
                <w:color w:val="375623"/>
                <w:sz w:val="18"/>
                <w:szCs w:val="18"/>
              </w:rPr>
              <w:t xml:space="preserve">+27.3%</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Market Capitalisation</w:t>
            </w:r>
          </w:p>
        </w:tc>
        <w:tc>
          <w:tcPr>
            <w:tcW w:type="dxa" w:w="156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₹22,840 Cr</w:t>
            </w:r>
          </w:p>
        </w:tc>
        <w:tc>
          <w:tcPr>
            <w:tcW w:type="dxa" w:w="156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₹18,200 Cr</w:t>
            </w:r>
          </w:p>
        </w:tc>
        <w:tc>
          <w:tcPr>
            <w:tcW w:type="dxa" w:w="156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center"/>
            </w:pPr>
            <w:r>
              <w:rPr>
                <w:rFonts w:ascii="Arial" w:cs="Arial" w:eastAsia="Arial" w:hAnsi="Arial"/>
                <w:b w:val="false"/>
                <w:bCs w:val="false"/>
                <w:color w:val="375623"/>
                <w:sz w:val="18"/>
                <w:szCs w:val="18"/>
              </w:rPr>
              <w:t xml:space="preserve">+25.5%</w:t>
            </w:r>
          </w:p>
        </w:tc>
      </w:tr>
    </w:tbl>
    <w:p>
      <w:pPr>
        <w:spacing w:before="80" w:after="80"/>
        <w:jc w:val="left"/>
      </w:pPr>
      <w:r>
        <w:rPr>
          <w:rFonts w:ascii="Arial" w:cs="Arial" w:eastAsia="Arial" w:hAnsi="Arial"/>
          <w:b w:val="false"/>
          <w:bCs w:val="false"/>
          <w:i w:val="false"/>
          <w:iCs w:val="false"/>
          <w:color w:val="000000"/>
          <w:sz w:val="20"/>
          <w:szCs w:val="20"/>
        </w:rPr>
        <w:t xml:space="preserve"/>
      </w:r>
    </w:p>
    <w:p>
      <w:pPr>
        <w:pBdr>
          <w:bottom w:val="single" w:color="2E75B6" w:sz="4" w:space="1"/>
        </w:pBdr>
        <w:spacing w:before="120" w:after="120"/>
      </w:pPr>
    </w:p>
    <w:p>
      <w:pPr>
        <w:pStyle w:val="Heading1"/>
        <w:spacing w:before="200" w:after="120"/>
      </w:pPr>
      <w:r>
        <w:rPr>
          <w:rFonts w:ascii="Arial" w:cs="Arial" w:eastAsia="Arial" w:hAnsi="Arial"/>
          <w:b/>
          <w:bCs/>
          <w:color w:val="1F4E79"/>
          <w:sz w:val="28"/>
          <w:szCs w:val="28"/>
        </w:rPr>
        <w:t xml:space="preserve">Board of Directors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1780"/>
        <w:gridCol w:w="1280"/>
      </w:tblGrid>
      <w:tr>
        <w:tc>
          <w:tcPr>
            <w:tcW w:type="dxa" w:w="3500"/>
            <w:tcBorders>
              <w:top w:val="single" w:color="1F4E79" w:sz="2"/>
              <w:left w:val="single" w:color="CCCCCC" w:sz="1"/>
              <w:bottom w:val="single" w:color="1F4E79" w:sz="2"/>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Name of Director</w:t>
            </w:r>
          </w:p>
        </w:tc>
        <w:tc>
          <w:tcPr>
            <w:tcW w:type="dxa" w:w="2800"/>
            <w:tcBorders>
              <w:top w:val="single" w:color="1F4E79" w:sz="2"/>
              <w:left w:val="single" w:color="CCCCCC" w:sz="1"/>
              <w:bottom w:val="single" w:color="1F4E79" w:sz="2"/>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Designation</w:t>
            </w:r>
          </w:p>
        </w:tc>
        <w:tc>
          <w:tcPr>
            <w:tcW w:type="dxa" w:w="1780"/>
            <w:tcBorders>
              <w:top w:val="single" w:color="1F4E79" w:sz="2"/>
              <w:left w:val="single" w:color="CCCCCC" w:sz="1"/>
              <w:bottom w:val="single" w:color="1F4E79" w:sz="2"/>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c>
          <w:tcPr>
            <w:tcW w:type="dxa" w:w="1280"/>
            <w:tcBorders>
              <w:top w:val="single" w:color="1F4E79" w:sz="2"/>
              <w:left w:val="single" w:color="CCCCCC" w:sz="1"/>
              <w:bottom w:val="single" w:color="1F4E79" w:sz="2"/>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 of Appointment</w:t>
            </w:r>
          </w:p>
        </w:tc>
      </w:tr>
      <w:tr>
        <w:tc>
          <w:tcPr>
            <w:tcW w:type="dxa" w:w="3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Mr. Rajesh Kumar Sharma</w:t>
            </w:r>
          </w:p>
        </w:tc>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Chairman &amp; Managing Director</w:t>
            </w:r>
          </w:p>
        </w:tc>
        <w:tc>
          <w:tcPr>
            <w:tcW w:type="dxa" w:w="17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Executive</w:t>
            </w:r>
          </w:p>
        </w:tc>
        <w:tc>
          <w:tcPr>
            <w:tcW w:type="dxa" w:w="12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2005</w:t>
            </w:r>
          </w:p>
        </w:tc>
      </w:tr>
      <w:tr>
        <w:tc>
          <w:tcPr>
            <w:tcW w:type="dxa" w:w="35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Mrs. Priya Nair</w:t>
            </w:r>
          </w:p>
        </w:tc>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Whole-Time Director</w:t>
            </w:r>
          </w:p>
        </w:tc>
        <w:tc>
          <w:tcPr>
            <w:tcW w:type="dxa" w:w="178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Executive</w:t>
            </w:r>
          </w:p>
        </w:tc>
        <w:tc>
          <w:tcPr>
            <w:tcW w:type="dxa" w:w="128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2012</w:t>
            </w:r>
          </w:p>
        </w:tc>
      </w:tr>
      <w:tr>
        <w:tc>
          <w:tcPr>
            <w:tcW w:type="dxa" w:w="3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Mr. Aditya Mehta</w:t>
            </w:r>
          </w:p>
        </w:tc>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Chief Financial Officer</w:t>
            </w:r>
          </w:p>
        </w:tc>
        <w:tc>
          <w:tcPr>
            <w:tcW w:type="dxa" w:w="17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Executive</w:t>
            </w:r>
          </w:p>
        </w:tc>
        <w:tc>
          <w:tcPr>
            <w:tcW w:type="dxa" w:w="12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2015</w:t>
            </w:r>
          </w:p>
        </w:tc>
      </w:tr>
      <w:tr>
        <w:tc>
          <w:tcPr>
            <w:tcW w:type="dxa" w:w="35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Mr. Suresh Iyer</w:t>
            </w:r>
          </w:p>
        </w:tc>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Independent Director</w:t>
            </w:r>
          </w:p>
        </w:tc>
        <w:tc>
          <w:tcPr>
            <w:tcW w:type="dxa" w:w="178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Non-Executive</w:t>
            </w:r>
          </w:p>
        </w:tc>
        <w:tc>
          <w:tcPr>
            <w:tcW w:type="dxa" w:w="128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2018</w:t>
            </w:r>
          </w:p>
        </w:tc>
      </w:tr>
      <w:tr>
        <w:tc>
          <w:tcPr>
            <w:tcW w:type="dxa" w:w="3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Dr. Kavitha Ramanujan</w:t>
            </w:r>
          </w:p>
        </w:tc>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Independent Director</w:t>
            </w:r>
          </w:p>
        </w:tc>
        <w:tc>
          <w:tcPr>
            <w:tcW w:type="dxa" w:w="17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Non-Executive</w:t>
            </w:r>
          </w:p>
        </w:tc>
        <w:tc>
          <w:tcPr>
            <w:tcW w:type="dxa" w:w="12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2019</w:t>
            </w:r>
          </w:p>
        </w:tc>
      </w:tr>
      <w:tr>
        <w:tc>
          <w:tcPr>
            <w:tcW w:type="dxa" w:w="35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Mr. Vikram Singhania</w:t>
            </w:r>
          </w:p>
        </w:tc>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Independent Director</w:t>
            </w:r>
          </w:p>
        </w:tc>
        <w:tc>
          <w:tcPr>
            <w:tcW w:type="dxa" w:w="178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Non-Executive</w:t>
            </w:r>
          </w:p>
        </w:tc>
        <w:tc>
          <w:tcPr>
            <w:tcW w:type="dxa" w:w="128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2020</w:t>
            </w:r>
          </w:p>
        </w:tc>
      </w:tr>
      <w:tr>
        <w:tc>
          <w:tcPr>
            <w:tcW w:type="dxa" w:w="3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Mrs. Anita Desai</w:t>
            </w:r>
          </w:p>
        </w:tc>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Nominee Director (LIC)</w:t>
            </w:r>
          </w:p>
        </w:tc>
        <w:tc>
          <w:tcPr>
            <w:tcW w:type="dxa" w:w="17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Non-Executive</w:t>
            </w:r>
          </w:p>
        </w:tc>
        <w:tc>
          <w:tcPr>
            <w:tcW w:type="dxa" w:w="12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2021</w:t>
            </w:r>
          </w:p>
        </w:tc>
      </w:tr>
      <w:tr>
        <w:tc>
          <w:tcPr>
            <w:tcW w:type="dxa" w:w="35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Mr. Harish Bhatt</w:t>
            </w:r>
          </w:p>
        </w:tc>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Independent Director</w:t>
            </w:r>
          </w:p>
        </w:tc>
        <w:tc>
          <w:tcPr>
            <w:tcW w:type="dxa" w:w="178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Non-Executive</w:t>
            </w:r>
          </w:p>
        </w:tc>
        <w:tc>
          <w:tcPr>
            <w:tcW w:type="dxa" w:w="128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2022</w:t>
            </w:r>
          </w:p>
        </w:tc>
      </w:tr>
    </w:tbl>
    <w:p>
      <w:pPr>
        <w:spacing w:before="80" w:after="80"/>
        <w:jc w:val="left"/>
      </w:pPr>
      <w:r>
        <w:rPr>
          <w:rFonts w:ascii="Arial" w:cs="Arial" w:eastAsia="Arial" w:hAnsi="Arial"/>
          <w:b w:val="false"/>
          <w:bCs w:val="false"/>
          <w:i w:val="false"/>
          <w:iCs w:val="false"/>
          <w:color w:val="000000"/>
          <w:sz w:val="20"/>
          <w:szCs w:val="20"/>
        </w:rPr>
        <w:t xml:space="preserve"/>
      </w:r>
    </w:p>
    <w:p>
      <w:pPr>
        <w:pBdr>
          <w:bottom w:val="single" w:color="2E75B6" w:sz="4" w:space="1"/>
        </w:pBdr>
        <w:spacing w:before="120" w:after="120"/>
      </w:pPr>
    </w:p>
    <w:p>
      <w:pPr>
        <w:pStyle w:val="Heading1"/>
        <w:spacing w:before="200" w:after="120"/>
      </w:pPr>
      <w:r>
        <w:rPr>
          <w:rFonts w:ascii="Arial" w:cs="Arial" w:eastAsia="Arial" w:hAnsi="Arial"/>
          <w:b/>
          <w:bCs/>
          <w:color w:val="1F4E79"/>
          <w:sz w:val="28"/>
          <w:szCs w:val="28"/>
        </w:rPr>
        <w:t xml:space="preserve">Business Segments</w:t>
      </w:r>
    </w:p>
    <w:p>
      <w:pPr>
        <w:pStyle w:val="Heading2"/>
        <w:spacing w:before="200" w:after="120"/>
      </w:pPr>
      <w:r>
        <w:rPr>
          <w:rFonts w:ascii="Arial" w:cs="Arial" w:eastAsia="Arial" w:hAnsi="Arial"/>
          <w:b/>
          <w:bCs/>
          <w:color w:val="2E75B6"/>
          <w:sz w:val="24"/>
          <w:szCs w:val="24"/>
        </w:rPr>
        <w:t xml:space="preserve">Auto-Components Division</w:t>
      </w:r>
    </w:p>
    <w:p>
      <w:pPr>
        <w:spacing w:before="80" w:after="80"/>
        <w:jc w:val="left"/>
      </w:pPr>
      <w:r>
        <w:rPr>
          <w:rFonts w:ascii="Arial" w:cs="Arial" w:eastAsia="Arial" w:hAnsi="Arial"/>
          <w:b w:val="false"/>
          <w:bCs w:val="false"/>
          <w:i w:val="false"/>
          <w:iCs w:val="false"/>
          <w:color w:val="000000"/>
          <w:sz w:val="20"/>
          <w:szCs w:val="20"/>
        </w:rPr>
        <w:t xml:space="preserve">The Auto-Components division contributed ₹3,242 crore to total revenues (63.1%), registering 18.4% growth. Key products include precision-machined engine components, transmission housings, differential assemblies, and suspension systems. The division added 3 new OEM customers during the year including a prestigious EV platform award from a leading global manufacturer.</w:t>
      </w:r>
    </w:p>
    <w:p>
      <w:pPr>
        <w:pStyle w:val="Heading2"/>
        <w:spacing w:before="200" w:after="120"/>
      </w:pPr>
      <w:r>
        <w:rPr>
          <w:rFonts w:ascii="Arial" w:cs="Arial" w:eastAsia="Arial" w:hAnsi="Arial"/>
          <w:b/>
          <w:bCs/>
          <w:color w:val="2E75B6"/>
          <w:sz w:val="24"/>
          <w:szCs w:val="24"/>
        </w:rPr>
        <w:t xml:space="preserve">Industrial Engineering Division</w:t>
      </w:r>
    </w:p>
    <w:p>
      <w:pPr>
        <w:spacing w:before="80" w:after="80"/>
        <w:jc w:val="left"/>
      </w:pPr>
      <w:r>
        <w:rPr>
          <w:rFonts w:ascii="Arial" w:cs="Arial" w:eastAsia="Arial" w:hAnsi="Arial"/>
          <w:b w:val="false"/>
          <w:bCs w:val="false"/>
          <w:i w:val="false"/>
          <w:iCs w:val="false"/>
          <w:color w:val="000000"/>
          <w:sz w:val="20"/>
          <w:szCs w:val="20"/>
        </w:rPr>
        <w:t xml:space="preserve">The Industrial Engineering division delivered revenues of ₹1,268 crore (24.7%), growing at 11.8%. Products include hydraulic cylinders, heavy-duty gearboxes, pressure vessels, and industrial pumps. Strong order inflows from the infrastructure and defence sectors augur well for sustained growth.</w:t>
      </w:r>
    </w:p>
    <w:p>
      <w:pPr>
        <w:pStyle w:val="Heading2"/>
        <w:spacing w:before="200" w:after="120"/>
      </w:pPr>
      <w:r>
        <w:rPr>
          <w:rFonts w:ascii="Arial" w:cs="Arial" w:eastAsia="Arial" w:hAnsi="Arial"/>
          <w:b/>
          <w:bCs/>
          <w:color w:val="2E75B6"/>
          <w:sz w:val="24"/>
          <w:szCs w:val="24"/>
        </w:rPr>
        <w:t xml:space="preserve">Exports &amp; International Business</w:t>
      </w:r>
    </w:p>
    <w:p>
      <w:pPr>
        <w:spacing w:before="80" w:after="80"/>
        <w:jc w:val="left"/>
      </w:pPr>
      <w:r>
        <w:rPr>
          <w:rFonts w:ascii="Arial" w:cs="Arial" w:eastAsia="Arial" w:hAnsi="Arial"/>
          <w:b w:val="false"/>
          <w:bCs w:val="false"/>
          <w:i w:val="false"/>
          <w:iCs w:val="false"/>
          <w:color w:val="000000"/>
          <w:sz w:val="20"/>
          <w:szCs w:val="20"/>
        </w:rPr>
        <w:t xml:space="preserve">Export revenues touched ₹625 crore, a growth of 22.5%, constituting 12.2% of total revenues. Major export markets include Germany, USA, Japan, UK, and South Korea. The Company's European subsidiary, BIL GmbH, commenced operations in Stuttgart during Q3 FY25.</w:t>
      </w:r>
    </w:p>
    <w:p>
      <w:pPr>
        <w:pBdr>
          <w:bottom w:val="single" w:color="2E75B6" w:sz="4" w:space="1"/>
        </w:pBdr>
        <w:spacing w:before="120" w:after="120"/>
      </w:pPr>
    </w:p>
    <w:p>
      <w:pPr>
        <w:pStyle w:val="Heading1"/>
        <w:spacing w:before="200" w:after="120"/>
      </w:pPr>
      <w:r>
        <w:rPr>
          <w:rFonts w:ascii="Arial" w:cs="Arial" w:eastAsia="Arial" w:hAnsi="Arial"/>
          <w:b/>
          <w:bCs/>
          <w:color w:val="1F4E79"/>
          <w:sz w:val="28"/>
          <w:szCs w:val="28"/>
        </w:rPr>
        <w:t xml:space="preserve">Risk Management &amp; Outlook</w:t>
      </w:r>
    </w:p>
    <w:p>
      <w:pPr>
        <w:spacing w:before="80" w:after="80"/>
        <w:jc w:val="left"/>
      </w:pPr>
      <w:r>
        <w:rPr>
          <w:rFonts w:ascii="Arial" w:cs="Arial" w:eastAsia="Arial" w:hAnsi="Arial"/>
          <w:b w:val="false"/>
          <w:bCs w:val="false"/>
          <w:i w:val="false"/>
          <w:iCs w:val="false"/>
          <w:color w:val="000000"/>
          <w:sz w:val="20"/>
          <w:szCs w:val="20"/>
        </w:rPr>
        <w:t xml:space="preserve">The Company has a robust Enterprise Risk Management (ERM) framework overseen by the Risk Management Committee of the Board. Key risks include commodity price volatility, customer concentration, forex fluctuations, and regulatory compliance. Mitigation strategies include hedging programmes, backward integration for key raw materials, and customer diversification initiatives.</w:t>
      </w:r>
    </w:p>
    <w:p>
      <w:pPr>
        <w:spacing w:before="80" w:after="80"/>
        <w:jc w:val="left"/>
      </w:pPr>
      <w:r>
        <w:rPr>
          <w:rFonts w:ascii="Arial" w:cs="Arial" w:eastAsia="Arial" w:hAnsi="Arial"/>
          <w:b w:val="false"/>
          <w:bCs w:val="false"/>
          <w:i w:val="false"/>
          <w:iCs w:val="false"/>
          <w:color w:val="000000"/>
          <w:sz w:val="20"/>
          <w:szCs w:val="20"/>
        </w:rPr>
        <w:t xml:space="preserve">The management is optimistic about FY 2025-26 with a revenue growth target of 14-17%, driven by new product launches, capacity additions, and a favourable domestic automotive cycle.</w:t>
      </w:r>
    </w:p>
    <w:p>
      <w:pPr>
        <w:pBdr>
          <w:bottom w:val="single" w:color="2E75B6" w:sz="4" w:space="1"/>
        </w:pBdr>
        <w:spacing w:before="120" w:after="120"/>
      </w:pPr>
    </w:p>
    <w:p>
      <w:pPr>
        <w:pStyle w:val="Heading1"/>
        <w:spacing w:before="200" w:after="120"/>
      </w:pPr>
      <w:r>
        <w:rPr>
          <w:rFonts w:ascii="Arial" w:cs="Arial" w:eastAsia="Arial" w:hAnsi="Arial"/>
          <w:b/>
          <w:bCs/>
          <w:color w:val="1F4E79"/>
          <w:sz w:val="28"/>
          <w:szCs w:val="28"/>
        </w:rPr>
        <w:t xml:space="preserve">Corporate Social Responsibility (CSR)</w:t>
      </w:r>
    </w:p>
    <w:p>
      <w:pPr>
        <w:spacing w:before="80" w:after="80"/>
        <w:jc w:val="left"/>
      </w:pPr>
      <w:r>
        <w:rPr>
          <w:rFonts w:ascii="Arial" w:cs="Arial" w:eastAsia="Arial" w:hAnsi="Arial"/>
          <w:b w:val="false"/>
          <w:bCs w:val="false"/>
          <w:i w:val="false"/>
          <w:iCs w:val="false"/>
          <w:color w:val="000000"/>
          <w:sz w:val="20"/>
          <w:szCs w:val="20"/>
        </w:rPr>
        <w:t xml:space="preserve">During FY 2024-25, BIL spent ₹14.8 crore on CSR activities, exceeding the mandatory 2% of average net profits. Key initiatives included the Bharat Kaushal Vikas Kendra (skill development — 4,200 beneficiaries), Aarogya Mobile Health Clinics (rural healthcare — 8 districts), Clean Drinking Water Project (12 villages), and Scholarship Programme for meritorious students from economically weaker sections (380 scholarships).</w:t>
      </w:r>
    </w:p>
    <w:p>
      <w:pPr>
        <w:pBdr>
          <w:bottom w:val="single" w:color="2E75B6" w:sz="4" w:space="1"/>
        </w:pBdr>
        <w:spacing w:before="120" w:after="120"/>
      </w:pPr>
    </w:p>
    <w:p>
      <w:pPr>
        <w:pStyle w:val="Heading1"/>
        <w:spacing w:before="200" w:after="120"/>
      </w:pPr>
      <w:r>
        <w:rPr>
          <w:rFonts w:ascii="Arial" w:cs="Arial" w:eastAsia="Arial" w:hAnsi="Arial"/>
          <w:b/>
          <w:bCs/>
          <w:color w:val="1F4E79"/>
          <w:sz w:val="28"/>
          <w:szCs w:val="28"/>
        </w:rPr>
        <w:t xml:space="preserve">Statutory Information</w:t>
      </w:r>
    </w:p>
    <w:p>
      <w:pPr>
        <w:spacing w:before="80" w:after="80"/>
        <w:jc w:val="left"/>
      </w:pPr>
      <w:r>
        <w:rPr>
          <w:rFonts w:ascii="Arial" w:cs="Arial" w:eastAsia="Arial" w:hAnsi="Arial"/>
          <w:b w:val="false"/>
          <w:bCs w:val="false"/>
          <w:i w:val="false"/>
          <w:iCs w:val="false"/>
          <w:color w:val="000000"/>
          <w:sz w:val="20"/>
          <w:szCs w:val="20"/>
        </w:rPr>
        <w:t xml:space="preserve">Auditors: M/s. S.R. Batliboi &amp; Co. LLP, Chartered Accountants, Mumbai (ICAI Firm Reg. No. 301003E/E300005)</w:t>
      </w:r>
    </w:p>
    <w:p>
      <w:pPr>
        <w:spacing w:before="80" w:after="80"/>
        <w:jc w:val="left"/>
      </w:pPr>
      <w:r>
        <w:rPr>
          <w:rFonts w:ascii="Arial" w:cs="Arial" w:eastAsia="Arial" w:hAnsi="Arial"/>
          <w:b w:val="false"/>
          <w:bCs w:val="false"/>
          <w:i w:val="false"/>
          <w:iCs w:val="false"/>
          <w:color w:val="000000"/>
          <w:sz w:val="20"/>
          <w:szCs w:val="20"/>
        </w:rPr>
        <w:t xml:space="preserve">Registrar &amp; Transfer Agent: KFin Technologies Limited, Hyderabad</w:t>
      </w:r>
    </w:p>
    <w:p>
      <w:pPr>
        <w:spacing w:before="80" w:after="80"/>
        <w:jc w:val="left"/>
      </w:pPr>
      <w:r>
        <w:rPr>
          <w:rFonts w:ascii="Arial" w:cs="Arial" w:eastAsia="Arial" w:hAnsi="Arial"/>
          <w:b w:val="false"/>
          <w:bCs w:val="false"/>
          <w:i w:val="false"/>
          <w:iCs w:val="false"/>
          <w:color w:val="000000"/>
          <w:sz w:val="20"/>
          <w:szCs w:val="20"/>
        </w:rPr>
        <w:t xml:space="preserve">Registered Office: BIL House, Baner Road, Pune – 411 045, Maharashtra, India</w:t>
      </w:r>
    </w:p>
    <w:p>
      <w:pPr>
        <w:spacing w:before="80" w:after="80"/>
        <w:jc w:val="left"/>
      </w:pPr>
      <w:r>
        <w:rPr>
          <w:rFonts w:ascii="Arial" w:cs="Arial" w:eastAsia="Arial" w:hAnsi="Arial"/>
          <w:b w:val="false"/>
          <w:bCs w:val="false"/>
          <w:i w:val="false"/>
          <w:iCs w:val="false"/>
          <w:color w:val="000000"/>
          <w:sz w:val="20"/>
          <w:szCs w:val="20"/>
        </w:rPr>
        <w:t xml:space="preserve">Corporate Identification Number: L27100MH2005PLC154231</w:t>
      </w:r>
    </w:p>
    <w:p>
      <w:pPr>
        <w:spacing w:before="80" w:after="80"/>
        <w:jc w:val="left"/>
      </w:pPr>
      <w:r>
        <w:rPr>
          <w:rFonts w:ascii="Arial" w:cs="Arial" w:eastAsia="Arial" w:hAnsi="Arial"/>
          <w:b w:val="false"/>
          <w:bCs w:val="false"/>
          <w:i w:val="false"/>
          <w:iCs w:val="false"/>
          <w:color w:val="000000"/>
          <w:sz w:val="20"/>
          <w:szCs w:val="20"/>
        </w:rPr>
        <w:t xml:space="preserve">Annual General Meeting: 28th August 2025, 3:00 PM IST (Virtual Mode)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outlineLvl w:val="0"/>
    </w:pPr>
    <w:rPr>
      <w:rFonts w:ascii="Arial" w:cs="Arial" w:eastAsia="Arial" w:hAnsi="Arial"/>
      <w:b/>
      <w:bCs/>
      <w:color w:val="1F4E79"/>
      <w:sz w:val="28"/>
      <w:szCs w:val="28"/>
    </w:rPr>
  </w:style>
  <w:style w:type="paragraph" w:styleId="Heading2">
    <w:name w:val="Heading 2"/>
    <w:basedOn w:val="Normal"/>
    <w:next w:val="Normal"/>
    <w:qFormat/>
    <w:pPr>
      <w:spacing w:before="18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2026-03-03T14:39:56.381Z</dcterms:created>
  <dcterms:modified xsi:type="dcterms:W3CDTF">2026-03-03T14:39:56.382Z</dcterms:modified>
</cp:coreProperties>
</file>

<file path=docProps/custom.xml><?xml version="1.0" encoding="utf-8"?>
<Properties xmlns="http://schemas.openxmlformats.org/officeDocument/2006/custom-properties" xmlns:vt="http://schemas.openxmlformats.org/officeDocument/2006/docPropsVTypes"/>
</file>