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4E79"/>
          <w:sz w:val="36"/>
          <w:szCs w:val="36"/>
        </w:rPr>
        <w:t xml:space="preserve">BHARAT INDUSTRIES LIMITED</w:t>
      </w:r>
    </w:p>
    <w:p>
      <w:pPr>
        <w:spacing w:before="0" w:after="200"/>
        <w:jc w:val="center"/>
      </w:pPr>
      <w:r>
        <w:rPr>
          <w:rFonts w:ascii="Arial" w:cs="Arial" w:eastAsia="Arial" w:hAnsi="Arial"/>
          <w:color w:val="595959"/>
          <w:sz w:val="22"/>
          <w:szCs w:val="22"/>
        </w:rPr>
        <w:t xml:space="preserve">Minutes of the Board Meeting | Meeting No. 4/2024-25</w:t>
      </w:r>
    </w:p>
    <w:p>
      <w:pPr>
        <w:pBdr>
          <w:bottom w:val="single" w:color="2E75B6" w:sz="4" w:space="1"/>
        </w:pBdr>
        <w:spacing w:before="120" w:after="120"/>
      </w:pPr>
    </w:p>
    <w:p>
      <w:pPr>
        <w:spacing w:before="80" w:after="80"/>
        <w:jc w:val="left"/>
      </w:pPr>
      <w:r>
        <w:rPr>
          <w:rFonts w:ascii="Arial" w:cs="Arial" w:eastAsia="Arial" w:hAnsi="Arial"/>
          <w:b w:val="false"/>
          <w:bCs w:val="false"/>
          <w:i w:val="false"/>
          <w:iCs w:val="false"/>
          <w:color w:val="595959"/>
          <w:sz w:val="20"/>
          <w:szCs w:val="20"/>
        </w:rPr>
        <w:t xml:space="preserve">CIN: L27100MH2005PLC154231  |  Registered Office: BIL House, Baner Road, Pune – 411 045</w:t>
      </w:r>
    </w:p>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Date of Meeting</w:t>
            </w:r>
          </w:p>
        </w:tc>
        <w:tc>
          <w:tcPr>
            <w:tcW w:type="dxa" w:w="69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25th January 2025 (Saturday)</w:t>
            </w:r>
          </w:p>
        </w:tc>
      </w:tr>
      <w:tr>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Day &amp; Time</w:t>
            </w:r>
          </w:p>
        </w:tc>
        <w:tc>
          <w:tcPr>
            <w:tcW w:type="dxa" w:w="69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Saturday, 10:30 AM IST</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Venue</w:t>
            </w:r>
          </w:p>
        </w:tc>
        <w:tc>
          <w:tcPr>
            <w:tcW w:type="dxa" w:w="69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Board Room, BIL House, Baner Road, Pune — 411 045 (and via Video Conference)</w:t>
            </w:r>
          </w:p>
        </w:tc>
      </w:tr>
      <w:tr>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Company Secretary</w:t>
            </w:r>
          </w:p>
        </w:tc>
        <w:tc>
          <w:tcPr>
            <w:tcW w:type="dxa" w:w="69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Ms. Sneha Goswami, FCS</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Notice Issued on</w:t>
            </w:r>
          </w:p>
        </w:tc>
        <w:tc>
          <w:tcPr>
            <w:tcW w:type="dxa" w:w="69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18th January 2025 (7 days advance notice duly given)</w:t>
            </w:r>
          </w:p>
        </w:tc>
      </w:tr>
    </w:tbl>
    <w:p>
      <w:pPr>
        <w:spacing w:before="80" w:after="80"/>
        <w:jc w:val="left"/>
      </w:pPr>
      <w:r>
        <w:rPr>
          <w:rFonts w:ascii="Arial" w:cs="Arial" w:eastAsia="Arial" w:hAnsi="Arial"/>
          <w:b w:val="false"/>
          <w:bCs w:val="false"/>
          <w:i w:val="false"/>
          <w:iCs w:val="false"/>
          <w:color w:val="000000"/>
          <w:sz w:val="20"/>
          <w:szCs w:val="20"/>
        </w:rPr>
        <w:t xml:space="preserve"/>
      </w:r>
    </w:p>
    <w:p>
      <w:pPr>
        <w:pStyle w:val="Heading1"/>
        <w:spacing w:before="200" w:after="120"/>
      </w:pPr>
      <w:r>
        <w:rPr>
          <w:rFonts w:ascii="Arial" w:cs="Arial" w:eastAsia="Arial" w:hAnsi="Arial"/>
          <w:b/>
          <w:bCs/>
          <w:color w:val="1F4E79"/>
          <w:sz w:val="28"/>
          <w:szCs w:val="28"/>
        </w:rPr>
        <w:t xml:space="preserve">Attendance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000"/>
        <w:gridCol w:w="2760"/>
      </w:tblGrid>
      <w:tr>
        <w:tc>
          <w:tcPr>
            <w:tcW w:type="dxa" w:w="600"/>
            <w:tcBorders>
              <w:top w:val="single" w:color="1F4E79" w:sz="2"/>
              <w:left w:val="single" w:color="CCCCCC" w:sz="1"/>
              <w:bottom w:val="single" w:color="1F4E79" w:sz="2"/>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S.No.</w:t>
            </w:r>
          </w:p>
        </w:tc>
        <w:tc>
          <w:tcPr>
            <w:tcW w:type="dxa" w:w="3000"/>
            <w:tcBorders>
              <w:top w:val="single" w:color="1F4E79" w:sz="2"/>
              <w:left w:val="single" w:color="CCCCCC" w:sz="1"/>
              <w:bottom w:val="single" w:color="1F4E79" w:sz="2"/>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 of Director</w:t>
            </w:r>
          </w:p>
        </w:tc>
        <w:tc>
          <w:tcPr>
            <w:tcW w:type="dxa" w:w="3000"/>
            <w:tcBorders>
              <w:top w:val="single" w:color="1F4E79" w:sz="2"/>
              <w:left w:val="single" w:color="CCCCCC" w:sz="1"/>
              <w:bottom w:val="single" w:color="1F4E79" w:sz="2"/>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Designation</w:t>
            </w:r>
          </w:p>
        </w:tc>
        <w:tc>
          <w:tcPr>
            <w:tcW w:type="dxa" w:w="2760"/>
            <w:tcBorders>
              <w:top w:val="single" w:color="1F4E79" w:sz="2"/>
              <w:left w:val="single" w:color="CCCCCC" w:sz="1"/>
              <w:bottom w:val="single" w:color="1F4E79" w:sz="2"/>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Attendance Status</w:t>
            </w:r>
          </w:p>
        </w:tc>
      </w:tr>
      <w:tr>
        <w:tc>
          <w:tcPr>
            <w:tcW w:type="dxa" w:w="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Mr. Rajesh Kumar Sharma</w:t>
            </w:r>
          </w:p>
        </w:tc>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Chairman &amp; Managing Director</w:t>
            </w:r>
          </w:p>
        </w:tc>
        <w:tc>
          <w:tcPr>
            <w:tcW w:type="dxa" w:w="2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375623"/>
                <w:sz w:val="18"/>
                <w:szCs w:val="18"/>
              </w:rPr>
              <w:t xml:space="preserve">Present</w:t>
            </w:r>
          </w:p>
        </w:tc>
      </w:tr>
      <w:tr>
        <w:tc>
          <w:tcPr>
            <w:tcW w:type="dxa" w:w="6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30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Mrs. Priya Nair</w:t>
            </w:r>
          </w:p>
        </w:tc>
        <w:tc>
          <w:tcPr>
            <w:tcW w:type="dxa" w:w="30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Whole-Time Director</w:t>
            </w:r>
          </w:p>
        </w:tc>
        <w:tc>
          <w:tcPr>
            <w:tcW w:type="dxa" w:w="27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val="false"/>
                <w:bCs w:val="false"/>
                <w:color w:val="375623"/>
                <w:sz w:val="18"/>
                <w:szCs w:val="18"/>
              </w:rPr>
              <w:t xml:space="preserve">Present</w:t>
            </w:r>
          </w:p>
        </w:tc>
      </w:tr>
      <w:tr>
        <w:tc>
          <w:tcPr>
            <w:tcW w:type="dxa" w:w="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Mr. Aditya Mehta</w:t>
            </w:r>
          </w:p>
        </w:tc>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Chief Financial Officer</w:t>
            </w:r>
          </w:p>
        </w:tc>
        <w:tc>
          <w:tcPr>
            <w:tcW w:type="dxa" w:w="2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375623"/>
                <w:sz w:val="18"/>
                <w:szCs w:val="18"/>
              </w:rPr>
              <w:t xml:space="preserve">Present</w:t>
            </w:r>
          </w:p>
        </w:tc>
      </w:tr>
      <w:tr>
        <w:tc>
          <w:tcPr>
            <w:tcW w:type="dxa" w:w="6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30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Mr. Suresh Iyer</w:t>
            </w:r>
          </w:p>
        </w:tc>
        <w:tc>
          <w:tcPr>
            <w:tcW w:type="dxa" w:w="30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Independent Director</w:t>
            </w:r>
          </w:p>
        </w:tc>
        <w:tc>
          <w:tcPr>
            <w:tcW w:type="dxa" w:w="27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val="false"/>
                <w:bCs w:val="false"/>
                <w:color w:val="375623"/>
                <w:sz w:val="18"/>
                <w:szCs w:val="18"/>
              </w:rPr>
              <w:t xml:space="preserve">Present</w:t>
            </w:r>
          </w:p>
        </w:tc>
      </w:tr>
      <w:tr>
        <w:tc>
          <w:tcPr>
            <w:tcW w:type="dxa" w:w="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Dr. Kavitha Ramanujan</w:t>
            </w:r>
          </w:p>
        </w:tc>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Independent Director</w:t>
            </w:r>
          </w:p>
        </w:tc>
        <w:tc>
          <w:tcPr>
            <w:tcW w:type="dxa" w:w="2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375623"/>
                <w:sz w:val="18"/>
                <w:szCs w:val="18"/>
              </w:rPr>
              <w:t xml:space="preserve">Present</w:t>
            </w:r>
          </w:p>
        </w:tc>
      </w:tr>
      <w:tr>
        <w:tc>
          <w:tcPr>
            <w:tcW w:type="dxa" w:w="6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30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Mr. Vikram Singhania</w:t>
            </w:r>
          </w:p>
        </w:tc>
        <w:tc>
          <w:tcPr>
            <w:tcW w:type="dxa" w:w="30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Independent Director</w:t>
            </w:r>
          </w:p>
        </w:tc>
        <w:tc>
          <w:tcPr>
            <w:tcW w:type="dxa" w:w="27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val="false"/>
                <w:bCs w:val="false"/>
                <w:color w:val="375623"/>
                <w:sz w:val="18"/>
                <w:szCs w:val="18"/>
              </w:rPr>
              <w:t xml:space="preserve">Present (via VC)</w:t>
            </w:r>
          </w:p>
        </w:tc>
      </w:tr>
      <w:tr>
        <w:tc>
          <w:tcPr>
            <w:tcW w:type="dxa" w:w="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w:t>
            </w:r>
          </w:p>
        </w:tc>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Mrs. Anita Desai</w:t>
            </w:r>
          </w:p>
        </w:tc>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Nominee Director (LIC)</w:t>
            </w:r>
          </w:p>
        </w:tc>
        <w:tc>
          <w:tcPr>
            <w:tcW w:type="dxa" w:w="2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val="false"/>
                <w:bCs w:val="false"/>
                <w:color w:val="375623"/>
                <w:sz w:val="18"/>
                <w:szCs w:val="18"/>
              </w:rPr>
              <w:t xml:space="preserve">Present</w:t>
            </w:r>
          </w:p>
        </w:tc>
      </w:tr>
      <w:tr>
        <w:tc>
          <w:tcPr>
            <w:tcW w:type="dxa" w:w="6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30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Mr. Harish Bhatt</w:t>
            </w:r>
          </w:p>
        </w:tc>
        <w:tc>
          <w:tcPr>
            <w:tcW w:type="dxa" w:w="300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Independent Director</w:t>
            </w:r>
          </w:p>
        </w:tc>
        <w:tc>
          <w:tcPr>
            <w:tcW w:type="dxa" w:w="2760"/>
            <w:tcBorders>
              <w:top w:val="single" w:color="CCCCCC" w:sz="1"/>
              <w:left w:val="single" w:color="CCCCCC" w:sz="1"/>
              <w:bottom w:val="single" w:color="CCCCCC" w:sz="1"/>
              <w:right w:val="single" w:color="CCCCCC" w:sz="1"/>
            </w:tcBorders>
            <w:shd/>
            <w:tcMar>
              <w:top w:type="dxa" w:w="80"/>
              <w:left w:type="dxa" w:w="120"/>
              <w:bottom w:type="dxa" w:w="80"/>
              <w:right w:type="dxa" w:w="120"/>
            </w:tcMar>
            <w:vAlign w:val="center"/>
          </w:tcPr>
          <w:p>
            <w:pPr>
              <w:jc w:val="center"/>
            </w:pPr>
            <w:r>
              <w:rPr>
                <w:rFonts w:ascii="Arial" w:cs="Arial" w:eastAsia="Arial" w:hAnsi="Arial"/>
                <w:b w:val="false"/>
                <w:bCs w:val="false"/>
                <w:color w:val="C00000"/>
                <w:sz w:val="18"/>
                <w:szCs w:val="18"/>
              </w:rPr>
              <w:t xml:space="preserve">Leave of Absence</w:t>
            </w:r>
          </w:p>
        </w:tc>
      </w:tr>
    </w:tbl>
    <w:p>
      <w:pPr>
        <w:spacing w:before="80" w:after="8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val="false"/>
          <w:bCs w:val="false"/>
          <w:i/>
          <w:iCs/>
          <w:color w:val="595959"/>
          <w:sz w:val="20"/>
          <w:szCs w:val="20"/>
        </w:rPr>
        <w:t xml:space="preserve">Quorum for the meeting is Two Directors, of which at least one shall be an Independent Director. Quorum was present throughout the meeting. The Chairman confirmed that the meeting was duly constituted.</w:t>
      </w:r>
    </w:p>
    <w:p>
      <w:pPr>
        <w:pBdr>
          <w:bottom w:val="single" w:color="2E75B6" w:sz="4" w:space="1"/>
        </w:pBdr>
        <w:spacing w:before="120" w:after="120"/>
      </w:pPr>
    </w:p>
    <w:p>
      <w:pPr>
        <w:pStyle w:val="Heading1"/>
        <w:spacing w:before="200" w:after="120"/>
      </w:pPr>
      <w:r>
        <w:rPr>
          <w:rFonts w:ascii="Arial" w:cs="Arial" w:eastAsia="Arial" w:hAnsi="Arial"/>
          <w:b/>
          <w:bCs/>
          <w:color w:val="1F4E79"/>
          <w:sz w:val="28"/>
          <w:szCs w:val="28"/>
        </w:rPr>
        <w:t xml:space="preserve">Agenda Items &amp; Resolutions</w:t>
      </w:r>
    </w:p>
    <w:p>
      <w:pPr>
        <w:spacing w:before="160" w:after="60"/>
        <w:jc w:val="left"/>
      </w:pPr>
      <w:r>
        <w:rPr>
          <w:rFonts w:ascii="Arial" w:cs="Arial" w:eastAsia="Arial" w:hAnsi="Arial"/>
          <w:b/>
          <w:bCs/>
          <w:i w:val="false"/>
          <w:iCs w:val="false"/>
          <w:color w:val="1F4E79"/>
          <w:sz w:val="20"/>
          <w:szCs w:val="20"/>
        </w:rPr>
        <w:t xml:space="preserve">Resolution No. 01/BM/4/2025: Confirmation of Minutes of Previous Board Meeting</w:t>
      </w:r>
    </w:p>
    <w:p>
      <w:pPr>
        <w:spacing w:before="80" w:after="80"/>
        <w:jc w:val="left"/>
      </w:pPr>
      <w:r>
        <w:rPr>
          <w:rFonts w:ascii="Arial" w:cs="Arial" w:eastAsia="Arial" w:hAnsi="Arial"/>
          <w:b w:val="false"/>
          <w:bCs w:val="false"/>
          <w:i w:val="false"/>
          <w:iCs w:val="false"/>
          <w:color w:val="000000"/>
          <w:sz w:val="20"/>
          <w:szCs w:val="20"/>
        </w:rPr>
        <w:t xml:space="preserve">The Board reviewed and confirmed the Minutes of the 3rd Board Meeting held on 25th October 2024, as circulated to all directors. There were no objections or modifications sought by any director.</w:t>
      </w:r>
    </w:p>
    <w:p>
      <w:pPr>
        <w:spacing w:before="80" w:after="120"/>
        <w:jc w:val="left"/>
      </w:pPr>
      <w:r>
        <w:rPr>
          <w:rFonts w:ascii="Arial" w:cs="Arial" w:eastAsia="Arial" w:hAnsi="Arial"/>
          <w:b/>
          <w:bCs/>
          <w:i w:val="false"/>
          <w:iCs w:val="false"/>
          <w:color w:val="375623"/>
          <w:sz w:val="20"/>
          <w:szCs w:val="20"/>
        </w:rPr>
        <w:t xml:space="preserve">Outcome: PASSED UNANIMOUSLY</w:t>
      </w:r>
    </w:p>
    <w:p>
      <w:pPr>
        <w:pBdr>
          <w:bottom w:val="single" w:color="2E75B6" w:sz="4" w:space="1"/>
        </w:pBdr>
        <w:spacing w:before="120" w:after="120"/>
      </w:pPr>
    </w:p>
    <w:p>
      <w:pPr>
        <w:spacing w:before="160" w:after="60"/>
        <w:jc w:val="left"/>
      </w:pPr>
      <w:r>
        <w:rPr>
          <w:rFonts w:ascii="Arial" w:cs="Arial" w:eastAsia="Arial" w:hAnsi="Arial"/>
          <w:b/>
          <w:bCs/>
          <w:i w:val="false"/>
          <w:iCs w:val="false"/>
          <w:color w:val="1F4E79"/>
          <w:sz w:val="20"/>
          <w:szCs w:val="20"/>
        </w:rPr>
        <w:t xml:space="preserve">Resolution No. 02/BM/4/2025: Review of Quarterly Financial Results (Q3 FY 2024-25)</w:t>
      </w:r>
    </w:p>
    <w:p>
      <w:pPr>
        <w:spacing w:before="80" w:after="80"/>
        <w:jc w:val="left"/>
      </w:pPr>
      <w:r>
        <w:rPr>
          <w:rFonts w:ascii="Arial" w:cs="Arial" w:eastAsia="Arial" w:hAnsi="Arial"/>
          <w:b w:val="false"/>
          <w:bCs w:val="false"/>
          <w:i w:val="false"/>
          <w:iCs w:val="false"/>
          <w:color w:val="000000"/>
          <w:sz w:val="20"/>
          <w:szCs w:val="20"/>
        </w:rPr>
        <w:t xml:space="preserve">The CFO, Mr. Aditya Mehta, presented the unaudited standalone and consolidated financial results for Q3 FY 2024-25. Revenue for Q3 stood at ₹1,384 crore, up 15.8% YoY. EBITDA margins improved by 60 bps to 22.4%. PAT grew 19.2% to ₹142 crore. The Board noted the continued momentum and commended the management team. The results were approved for submission to stock exchanges under Regulation 33 of the SEBI LODR Regulations, 2015.</w:t>
      </w:r>
    </w:p>
    <w:p>
      <w:pPr>
        <w:spacing w:before="80" w:after="120"/>
        <w:jc w:val="left"/>
      </w:pPr>
      <w:r>
        <w:rPr>
          <w:rFonts w:ascii="Arial" w:cs="Arial" w:eastAsia="Arial" w:hAnsi="Arial"/>
          <w:b/>
          <w:bCs/>
          <w:i w:val="false"/>
          <w:iCs w:val="false"/>
          <w:color w:val="375623"/>
          <w:sz w:val="20"/>
          <w:szCs w:val="20"/>
        </w:rPr>
        <w:t xml:space="preserve">Outcome: PASSED UNANIMOUSLY</w:t>
      </w:r>
    </w:p>
    <w:p>
      <w:pPr>
        <w:pBdr>
          <w:bottom w:val="single" w:color="2E75B6" w:sz="4" w:space="1"/>
        </w:pBdr>
        <w:spacing w:before="120" w:after="120"/>
      </w:pPr>
    </w:p>
    <w:p>
      <w:pPr>
        <w:spacing w:before="160" w:after="60"/>
        <w:jc w:val="left"/>
      </w:pPr>
      <w:r>
        <w:rPr>
          <w:rFonts w:ascii="Arial" w:cs="Arial" w:eastAsia="Arial" w:hAnsi="Arial"/>
          <w:b/>
          <w:bCs/>
          <w:i w:val="false"/>
          <w:iCs w:val="false"/>
          <w:color w:val="1F4E79"/>
          <w:sz w:val="20"/>
          <w:szCs w:val="20"/>
        </w:rPr>
        <w:t xml:space="preserve">Resolution No. 03/BM/4/2025: Approval of Capital Expenditure — Phase II Expansion at Sanand Plant</w:t>
      </w:r>
    </w:p>
    <w:p>
      <w:pPr>
        <w:spacing w:before="80" w:after="80"/>
        <w:jc w:val="left"/>
      </w:pPr>
      <w:r>
        <w:rPr>
          <w:rFonts w:ascii="Arial" w:cs="Arial" w:eastAsia="Arial" w:hAnsi="Arial"/>
          <w:b w:val="false"/>
          <w:bCs w:val="false"/>
          <w:i w:val="false"/>
          <w:iCs w:val="false"/>
          <w:color w:val="000000"/>
          <w:sz w:val="20"/>
          <w:szCs w:val="20"/>
        </w:rPr>
        <w:t xml:space="preserve">The Board deliberated on the proposal for Phase II capacity expansion at the Sanand, Gujarat plant. The project entails installation of 3 new CNC machining lines with an aggregate investment of ₹285 crore. The expansion will increase installed capacity by 420,000 units per annum. Internal Rate of Return (IRR) estimated at 18.4% over a 7-year horizon. The Audit Committee and Risk Management Committee had reviewed and recommended the proposal. After detailed discussion, the Board approved the capex outlay of ₹285 crore to be funded through a combination of internal accruals (60%) and term loans (40%).</w:t>
      </w:r>
    </w:p>
    <w:p>
      <w:pPr>
        <w:spacing w:before="80" w:after="120"/>
        <w:jc w:val="left"/>
      </w:pPr>
      <w:r>
        <w:rPr>
          <w:rFonts w:ascii="Arial" w:cs="Arial" w:eastAsia="Arial" w:hAnsi="Arial"/>
          <w:b/>
          <w:bCs/>
          <w:i w:val="false"/>
          <w:iCs w:val="false"/>
          <w:color w:val="375623"/>
          <w:sz w:val="20"/>
          <w:szCs w:val="20"/>
        </w:rPr>
        <w:t xml:space="preserve">Outcome: PASSED UNANIMOUSLY</w:t>
      </w:r>
    </w:p>
    <w:p>
      <w:pPr>
        <w:pBdr>
          <w:bottom w:val="single" w:color="2E75B6" w:sz="4" w:space="1"/>
        </w:pBdr>
        <w:spacing w:before="120" w:after="120"/>
      </w:pPr>
    </w:p>
    <w:p>
      <w:pPr>
        <w:spacing w:before="160" w:after="60"/>
        <w:jc w:val="left"/>
      </w:pPr>
      <w:r>
        <w:rPr>
          <w:rFonts w:ascii="Arial" w:cs="Arial" w:eastAsia="Arial" w:hAnsi="Arial"/>
          <w:b/>
          <w:bCs/>
          <w:i w:val="false"/>
          <w:iCs w:val="false"/>
          <w:color w:val="1F4E79"/>
          <w:sz w:val="20"/>
          <w:szCs w:val="20"/>
        </w:rPr>
        <w:t xml:space="preserve">Resolution No. 04/BM/4/2025: Approval of Long-Term Borrowing — Term Loan from HDFC Bank</w:t>
      </w:r>
    </w:p>
    <w:p>
      <w:pPr>
        <w:spacing w:before="80" w:after="80"/>
        <w:jc w:val="left"/>
      </w:pPr>
      <w:r>
        <w:rPr>
          <w:rFonts w:ascii="Arial" w:cs="Arial" w:eastAsia="Arial" w:hAnsi="Arial"/>
          <w:b w:val="false"/>
          <w:bCs w:val="false"/>
          <w:i w:val="false"/>
          <w:iCs w:val="false"/>
          <w:color w:val="000000"/>
          <w:sz w:val="20"/>
          <w:szCs w:val="20"/>
        </w:rPr>
        <w:t xml:space="preserve">The CFO presented the term sheet from HDFC Bank for a term loan of ₹114 crore at 8.55% per annum, tenor of 7 years with a 12-month moratorium. The Board reviewed the terms and conditions, security structure (exclusive charge on Sanand plant assets), and financial covenants. The Board authorised the CMD and CFO, jointly, to execute all loan documents on behalf of the Company.</w:t>
      </w:r>
    </w:p>
    <w:p>
      <w:pPr>
        <w:spacing w:before="80" w:after="120"/>
        <w:jc w:val="left"/>
      </w:pPr>
      <w:r>
        <w:rPr>
          <w:rFonts w:ascii="Arial" w:cs="Arial" w:eastAsia="Arial" w:hAnsi="Arial"/>
          <w:b/>
          <w:bCs/>
          <w:i w:val="false"/>
          <w:iCs w:val="false"/>
          <w:color w:val="375623"/>
          <w:sz w:val="20"/>
          <w:szCs w:val="20"/>
        </w:rPr>
        <w:t xml:space="preserve">Outcome: PASSED WITH MAJORITY (7:1)</w:t>
      </w:r>
    </w:p>
    <w:p>
      <w:pPr>
        <w:pBdr>
          <w:bottom w:val="single" w:color="2E75B6" w:sz="4" w:space="1"/>
        </w:pBdr>
        <w:spacing w:before="120" w:after="120"/>
      </w:pPr>
    </w:p>
    <w:p>
      <w:pPr>
        <w:spacing w:before="160" w:after="60"/>
        <w:jc w:val="left"/>
      </w:pPr>
      <w:r>
        <w:rPr>
          <w:rFonts w:ascii="Arial" w:cs="Arial" w:eastAsia="Arial" w:hAnsi="Arial"/>
          <w:b/>
          <w:bCs/>
          <w:i w:val="false"/>
          <w:iCs w:val="false"/>
          <w:color w:val="1F4E79"/>
          <w:sz w:val="20"/>
          <w:szCs w:val="20"/>
        </w:rPr>
        <w:t xml:space="preserve">Resolution No. 05/BM/4/2025: Declaration of Interim Dividend</w:t>
      </w:r>
    </w:p>
    <w:p>
      <w:pPr>
        <w:spacing w:before="80" w:after="80"/>
        <w:jc w:val="left"/>
      </w:pPr>
      <w:r>
        <w:rPr>
          <w:rFonts w:ascii="Arial" w:cs="Arial" w:eastAsia="Arial" w:hAnsi="Arial"/>
          <w:b w:val="false"/>
          <w:bCs w:val="false"/>
          <w:i w:val="false"/>
          <w:iCs w:val="false"/>
          <w:color w:val="000000"/>
          <w:sz w:val="20"/>
          <w:szCs w:val="20"/>
        </w:rPr>
        <w:t xml:space="preserve">The Board considered the liquidity position and cash flow projections of the Company. In view of the strong financial performance, the Board declared an interim dividend of ₹6 per equity share (face value ₹2 per share, i.e., 300%) for FY 2024-25. Record date fixed as 7th February 2025. Total outflow on account of interim dividend: ₹71.60 crore.</w:t>
      </w:r>
    </w:p>
    <w:p>
      <w:pPr>
        <w:spacing w:before="80" w:after="120"/>
        <w:jc w:val="left"/>
      </w:pPr>
      <w:r>
        <w:rPr>
          <w:rFonts w:ascii="Arial" w:cs="Arial" w:eastAsia="Arial" w:hAnsi="Arial"/>
          <w:b/>
          <w:bCs/>
          <w:i w:val="false"/>
          <w:iCs w:val="false"/>
          <w:color w:val="375623"/>
          <w:sz w:val="20"/>
          <w:szCs w:val="20"/>
        </w:rPr>
        <w:t xml:space="preserve">Outcome: PASSED UNANIMOUSLY</w:t>
      </w:r>
    </w:p>
    <w:p>
      <w:pPr>
        <w:pBdr>
          <w:bottom w:val="single" w:color="2E75B6" w:sz="4" w:space="1"/>
        </w:pBdr>
        <w:spacing w:before="120" w:after="120"/>
      </w:pPr>
    </w:p>
    <w:p>
      <w:pPr>
        <w:spacing w:before="160" w:after="60"/>
        <w:jc w:val="left"/>
      </w:pPr>
      <w:r>
        <w:rPr>
          <w:rFonts w:ascii="Arial" w:cs="Arial" w:eastAsia="Arial" w:hAnsi="Arial"/>
          <w:b/>
          <w:bCs/>
          <w:i w:val="false"/>
          <w:iCs w:val="false"/>
          <w:color w:val="1F4E79"/>
          <w:sz w:val="20"/>
          <w:szCs w:val="20"/>
        </w:rPr>
        <w:t xml:space="preserve">Resolution No. 06/BM/4/2025: Appointment of Cost Auditor for FY 2024-25</w:t>
      </w:r>
    </w:p>
    <w:p>
      <w:pPr>
        <w:spacing w:before="80" w:after="80"/>
        <w:jc w:val="left"/>
      </w:pPr>
      <w:r>
        <w:rPr>
          <w:rFonts w:ascii="Arial" w:cs="Arial" w:eastAsia="Arial" w:hAnsi="Arial"/>
          <w:b w:val="false"/>
          <w:bCs w:val="false"/>
          <w:i w:val="false"/>
          <w:iCs w:val="false"/>
          <w:color w:val="000000"/>
          <w:sz w:val="20"/>
          <w:szCs w:val="20"/>
        </w:rPr>
        <w:t xml:space="preserve">M/s. Dhananjay &amp; Associates, Cost Accountants (ICAI Membership No. 102345) have expressed their willingness and eligibility for appointment as Cost Auditor for FY 2024-25. The Board considered the Audit Committee's recommendation and approved the appointment at a remuneration of ₹8.5 lakhs plus applicable taxes and out-of-pocket expenses.</w:t>
      </w:r>
    </w:p>
    <w:p>
      <w:pPr>
        <w:spacing w:before="80" w:after="120"/>
        <w:jc w:val="left"/>
      </w:pPr>
      <w:r>
        <w:rPr>
          <w:rFonts w:ascii="Arial" w:cs="Arial" w:eastAsia="Arial" w:hAnsi="Arial"/>
          <w:b/>
          <w:bCs/>
          <w:i w:val="false"/>
          <w:iCs w:val="false"/>
          <w:color w:val="375623"/>
          <w:sz w:val="20"/>
          <w:szCs w:val="20"/>
        </w:rPr>
        <w:t xml:space="preserve">Outcome: PASSED UNANIMOUSLY</w:t>
      </w:r>
    </w:p>
    <w:p>
      <w:pPr>
        <w:pBdr>
          <w:bottom w:val="single" w:color="2E75B6" w:sz="4" w:space="1"/>
        </w:pBdr>
        <w:spacing w:before="120" w:after="120"/>
      </w:pPr>
    </w:p>
    <w:p>
      <w:pPr>
        <w:spacing w:before="160" w:after="60"/>
        <w:jc w:val="left"/>
      </w:pPr>
      <w:r>
        <w:rPr>
          <w:rFonts w:ascii="Arial" w:cs="Arial" w:eastAsia="Arial" w:hAnsi="Arial"/>
          <w:b/>
          <w:bCs/>
          <w:i w:val="false"/>
          <w:iCs w:val="false"/>
          <w:color w:val="1F4E79"/>
          <w:sz w:val="20"/>
          <w:szCs w:val="20"/>
        </w:rPr>
        <w:t xml:space="preserve">Resolution No. 07/BM/4/2025: Annual Performance Review — EV Strategy Initiative</w:t>
      </w:r>
    </w:p>
    <w:p>
      <w:pPr>
        <w:spacing w:before="80" w:after="80"/>
        <w:jc w:val="left"/>
      </w:pPr>
      <w:r>
        <w:rPr>
          <w:rFonts w:ascii="Arial" w:cs="Arial" w:eastAsia="Arial" w:hAnsi="Arial"/>
          <w:b w:val="false"/>
          <w:bCs w:val="false"/>
          <w:i w:val="false"/>
          <w:iCs w:val="false"/>
          <w:color w:val="000000"/>
          <w:sz w:val="20"/>
          <w:szCs w:val="20"/>
        </w:rPr>
        <w:t xml:space="preserve">The CEO presented a detailed update on the Company's Electric Vehicle (EV) Component Strategy. BIL has secured Letters of Intent (LoIs) totalling ₹1,240 crore from 2 domestic EV OEMs for supply of e-axle housings, motor mounts, and battery enclosures. The first production deliveries are scheduled for Q2 FY 2026-27. The Board noted the progress and directed management to present a comprehensive EV roadmap at the next Board meeting.</w:t>
      </w:r>
    </w:p>
    <w:p>
      <w:pPr>
        <w:spacing w:before="80" w:after="120"/>
        <w:jc w:val="left"/>
      </w:pPr>
      <w:r>
        <w:rPr>
          <w:rFonts w:ascii="Arial" w:cs="Arial" w:eastAsia="Arial" w:hAnsi="Arial"/>
          <w:b/>
          <w:bCs/>
          <w:i w:val="false"/>
          <w:iCs w:val="false"/>
          <w:color w:val="C00000"/>
          <w:sz w:val="20"/>
          <w:szCs w:val="20"/>
        </w:rPr>
        <w:t xml:space="preserve">Outcome: NOTED</w:t>
      </w:r>
    </w:p>
    <w:p>
      <w:pPr>
        <w:pBdr>
          <w:bottom w:val="single" w:color="2E75B6" w:sz="4" w:space="1"/>
        </w:pBdr>
        <w:spacing w:before="120" w:after="120"/>
      </w:pPr>
    </w:p>
    <w:p>
      <w:pPr>
        <w:spacing w:before="160" w:after="60"/>
        <w:jc w:val="left"/>
      </w:pPr>
      <w:r>
        <w:rPr>
          <w:rFonts w:ascii="Arial" w:cs="Arial" w:eastAsia="Arial" w:hAnsi="Arial"/>
          <w:b/>
          <w:bCs/>
          <w:i w:val="false"/>
          <w:iCs w:val="false"/>
          <w:color w:val="1F4E79"/>
          <w:sz w:val="20"/>
          <w:szCs w:val="20"/>
        </w:rPr>
        <w:t xml:space="preserve">Resolution No. 08/BM/4/2025: Any Other Business with Permission of Chair</w:t>
      </w:r>
    </w:p>
    <w:p>
      <w:pPr>
        <w:spacing w:before="80" w:after="80"/>
        <w:jc w:val="left"/>
      </w:pPr>
      <w:r>
        <w:rPr>
          <w:rFonts w:ascii="Arial" w:cs="Arial" w:eastAsia="Arial" w:hAnsi="Arial"/>
          <w:b w:val="false"/>
          <w:bCs w:val="false"/>
          <w:i w:val="false"/>
          <w:iCs w:val="false"/>
          <w:color w:val="000000"/>
          <w:sz w:val="20"/>
          <w:szCs w:val="20"/>
        </w:rPr>
        <w:t xml:space="preserve">The Chairman informed the Board of a proposed visit by a Japanese delegation from Denso Corporation to the Pune plant on 14th February 2025, exploring possibilities of a technology collaboration. The Board expressed its in-principle support for exploring strategic partnerships. No resolution was required at this stage.</w:t>
      </w:r>
    </w:p>
    <w:p>
      <w:pPr>
        <w:spacing w:before="80" w:after="120"/>
        <w:jc w:val="left"/>
      </w:pPr>
      <w:r>
        <w:rPr>
          <w:rFonts w:ascii="Arial" w:cs="Arial" w:eastAsia="Arial" w:hAnsi="Arial"/>
          <w:b/>
          <w:bCs/>
          <w:i w:val="false"/>
          <w:iCs w:val="false"/>
          <w:color w:val="C00000"/>
          <w:sz w:val="20"/>
          <w:szCs w:val="20"/>
        </w:rPr>
        <w:t xml:space="preserve">Outcome: NOTED</w:t>
      </w:r>
    </w:p>
    <w:p>
      <w:pPr>
        <w:pBdr>
          <w:bottom w:val="single" w:color="2E75B6" w:sz="4" w:space="1"/>
        </w:pBdr>
        <w:spacing w:before="120" w:after="120"/>
      </w:pPr>
    </w:p>
    <w:p>
      <w:pPr>
        <w:pStyle w:val="Heading1"/>
        <w:spacing w:before="200" w:after="120"/>
      </w:pPr>
      <w:r>
        <w:rPr>
          <w:rFonts w:ascii="Arial" w:cs="Arial" w:eastAsia="Arial" w:hAnsi="Arial"/>
          <w:b/>
          <w:bCs/>
          <w:color w:val="1F4E79"/>
          <w:sz w:val="28"/>
          <w:szCs w:val="28"/>
        </w:rPr>
        <w:t xml:space="preserve">Closing</w:t>
      </w:r>
    </w:p>
    <w:p>
      <w:pPr>
        <w:spacing w:before="80" w:after="80"/>
        <w:jc w:val="left"/>
      </w:pPr>
      <w:r>
        <w:rPr>
          <w:rFonts w:ascii="Arial" w:cs="Arial" w:eastAsia="Arial" w:hAnsi="Arial"/>
          <w:b w:val="false"/>
          <w:bCs w:val="false"/>
          <w:i w:val="false"/>
          <w:iCs w:val="false"/>
          <w:color w:val="000000"/>
          <w:sz w:val="20"/>
          <w:szCs w:val="20"/>
        </w:rPr>
        <w:t xml:space="preserve">There being no further business, the meeting concluded at 1:45 PM with a vote of thanks to the Chair.</w:t>
      </w:r>
    </w:p>
    <w:p>
      <w:pPr>
        <w:spacing w:before="80" w:after="8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bCs/>
          <w:i w:val="false"/>
          <w:iCs w:val="false"/>
          <w:color w:val="000000"/>
          <w:sz w:val="20"/>
          <w:szCs w:val="20"/>
        </w:rPr>
        <w:t xml:space="preserve">Confirmed by:</w:t>
      </w:r>
    </w:p>
    <w:p>
      <w:pPr>
        <w:spacing w:before="80" w:after="80"/>
        <w:jc w:val="left"/>
      </w:pPr>
      <w:r>
        <w:rPr>
          <w:rFonts w:ascii="Arial" w:cs="Arial" w:eastAsia="Arial" w:hAnsi="Arial"/>
          <w:b/>
          <w:bCs/>
          <w:i w:val="false"/>
          <w:iCs w:val="false"/>
          <w:color w:val="000000"/>
          <w:sz w:val="20"/>
          <w:szCs w:val="20"/>
        </w:rPr>
        <w:t xml:space="preserve">Rajesh Kumar Sharma</w:t>
      </w:r>
    </w:p>
    <w:p>
      <w:pPr>
        <w:spacing w:before="80" w:after="80"/>
        <w:jc w:val="left"/>
      </w:pPr>
      <w:r>
        <w:rPr>
          <w:rFonts w:ascii="Arial" w:cs="Arial" w:eastAsia="Arial" w:hAnsi="Arial"/>
          <w:b w:val="false"/>
          <w:bCs w:val="false"/>
          <w:i w:val="false"/>
          <w:iCs w:val="false"/>
          <w:color w:val="000000"/>
          <w:sz w:val="20"/>
          <w:szCs w:val="20"/>
        </w:rPr>
        <w:t xml:space="preserve">Chairman &amp; Managing Director</w:t>
      </w:r>
    </w:p>
    <w:p>
      <w:pPr>
        <w:spacing w:before="80" w:after="80"/>
        <w:jc w:val="left"/>
      </w:pPr>
      <w:r>
        <w:rPr>
          <w:rFonts w:ascii="Arial" w:cs="Arial" w:eastAsia="Arial" w:hAnsi="Arial"/>
          <w:b w:val="false"/>
          <w:bCs w:val="false"/>
          <w:i w:val="false"/>
          <w:iCs w:val="false"/>
          <w:color w:val="000000"/>
          <w:sz w:val="20"/>
          <w:szCs w:val="20"/>
        </w:rPr>
        <w:t xml:space="preserve">Bharat Industries Limited</w:t>
      </w:r>
    </w:p>
    <w:p>
      <w:pPr>
        <w:spacing w:before="80" w:after="80"/>
        <w:jc w:val="left"/>
      </w:pPr>
      <w:r>
        <w:rPr>
          <w:rFonts w:ascii="Arial" w:cs="Arial" w:eastAsia="Arial" w:hAnsi="Arial"/>
          <w:b w:val="false"/>
          <w:bCs w:val="false"/>
          <w:i w:val="false"/>
          <w:iCs w:val="false"/>
          <w:color w:val="000000"/>
          <w:sz w:val="20"/>
          <w:szCs w:val="20"/>
        </w:rPr>
        <w:t xml:space="preserve">Date: 28th January 2025</w:t>
      </w:r>
    </w:p>
    <w:p>
      <w:pPr>
        <w:spacing w:before="80" w:after="8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bCs/>
          <w:i w:val="false"/>
          <w:iCs w:val="false"/>
          <w:color w:val="000000"/>
          <w:sz w:val="20"/>
          <w:szCs w:val="20"/>
        </w:rPr>
        <w:t xml:space="preserve">Certified by:</w:t>
      </w:r>
    </w:p>
    <w:p>
      <w:pPr>
        <w:spacing w:before="80" w:after="80"/>
        <w:jc w:val="left"/>
      </w:pPr>
      <w:r>
        <w:rPr>
          <w:rFonts w:ascii="Arial" w:cs="Arial" w:eastAsia="Arial" w:hAnsi="Arial"/>
          <w:b w:val="false"/>
          <w:bCs w:val="false"/>
          <w:i w:val="false"/>
          <w:iCs w:val="false"/>
          <w:color w:val="000000"/>
          <w:sz w:val="20"/>
          <w:szCs w:val="20"/>
        </w:rPr>
        <w:t xml:space="preserve">Sneha Goswami, FCS</w:t>
      </w:r>
    </w:p>
    <w:p>
      <w:pPr>
        <w:spacing w:before="80" w:after="80"/>
        <w:jc w:val="left"/>
      </w:pPr>
      <w:r>
        <w:rPr>
          <w:rFonts w:ascii="Arial" w:cs="Arial" w:eastAsia="Arial" w:hAnsi="Arial"/>
          <w:b w:val="false"/>
          <w:bCs w:val="false"/>
          <w:i w:val="false"/>
          <w:iCs w:val="false"/>
          <w:color w:val="000000"/>
          <w:sz w:val="20"/>
          <w:szCs w:val="20"/>
        </w:rPr>
        <w:t xml:space="preserve">Company Secretary | Membership No. F12845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18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2026-03-03T14:39:56.429Z</dcterms:created>
  <dcterms:modified xsi:type="dcterms:W3CDTF">2026-03-03T14:39:56.429Z</dcterms:modified>
</cp:coreProperties>
</file>

<file path=docProps/custom.xml><?xml version="1.0" encoding="utf-8"?>
<Properties xmlns="http://schemas.openxmlformats.org/officeDocument/2006/custom-properties" xmlns:vt="http://schemas.openxmlformats.org/officeDocument/2006/docPropsVTypes"/>
</file>