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4E79"/>
          <w:sz w:val="36"/>
          <w:szCs w:val="36"/>
        </w:rPr>
        <w:t xml:space="preserve">BHARAT INDUSTRIES LIMITED</w:t>
      </w:r>
    </w:p>
    <w:p>
      <w:pPr>
        <w:spacing w:before="0" w:after="200"/>
        <w:jc w:val="center"/>
      </w:pPr>
      <w:r>
        <w:rPr>
          <w:rFonts w:ascii="Arial" w:cs="Arial" w:eastAsia="Arial" w:hAnsi="Arial"/>
          <w:color w:val="595959"/>
          <w:sz w:val="22"/>
          <w:szCs w:val="22"/>
        </w:rPr>
        <w:t xml:space="preserve">Standalone Financial Statements — FY 2024-25 | Prepared as per Ind AS</w:t>
      </w:r>
    </w:p>
    <w:p>
      <w:pPr>
        <w:pBdr>
          <w:bottom w:val="single" w:color="2E75B6" w:sz="4" w:space="1"/>
        </w:pBdr>
        <w:spacing w:before="120" w:after="120"/>
      </w:pPr>
    </w:p>
    <w:p>
      <w:pPr>
        <w:pStyle w:val="Heading1"/>
        <w:spacing w:before="200" w:after="120"/>
      </w:pPr>
      <w:r>
        <w:rPr>
          <w:rFonts w:ascii="Arial" w:cs="Arial" w:eastAsia="Arial" w:hAnsi="Arial"/>
          <w:b/>
          <w:bCs/>
          <w:color w:val="1F4E79"/>
          <w:sz w:val="28"/>
          <w:szCs w:val="28"/>
        </w:rPr>
        <w:t xml:space="preserve">Independent Auditor's Report</w:t>
      </w:r>
    </w:p>
    <w:p>
      <w:pPr>
        <w:spacing w:before="80" w:after="80"/>
        <w:jc w:val="left"/>
      </w:pPr>
      <w:r>
        <w:rPr>
          <w:rFonts w:ascii="Arial" w:cs="Arial" w:eastAsia="Arial" w:hAnsi="Arial"/>
          <w:b/>
          <w:bCs/>
          <w:i w:val="false"/>
          <w:iCs w:val="false"/>
          <w:color w:val="000000"/>
          <w:sz w:val="20"/>
          <w:szCs w:val="20"/>
        </w:rPr>
        <w:t xml:space="preserve">To the Members of Bharat Industries Limited</w:t>
      </w:r>
    </w:p>
    <w:p>
      <w:pPr>
        <w:spacing w:before="80" w:after="80"/>
        <w:jc w:val="left"/>
      </w:pPr>
      <w:r>
        <w:rPr>
          <w:rFonts w:ascii="Arial" w:cs="Arial" w:eastAsia="Arial" w:hAnsi="Arial"/>
          <w:b w:val="false"/>
          <w:bCs w:val="false"/>
          <w:i w:val="false"/>
          <w:iCs w:val="false"/>
          <w:color w:val="000000"/>
          <w:sz w:val="20"/>
          <w:szCs w:val="20"/>
        </w:rPr>
        <w:t xml:space="preserve">We have audited the accompanying standalone financial statements of Bharat Industries Limited ('the Company'), which comprise the Balance Sheet as at 31st March 2025, the Statement of Profit and Loss, the Cash Flow Statement for the year then ended, and a summary of significant accounting policies and other explanatory information.</w:t>
      </w:r>
    </w:p>
    <w:p>
      <w:pPr>
        <w:spacing w:before="80" w:after="80"/>
        <w:jc w:val="left"/>
      </w:pPr>
      <w:r>
        <w:rPr>
          <w:rFonts w:ascii="Arial" w:cs="Arial" w:eastAsia="Arial" w:hAnsi="Arial"/>
          <w:b w:val="false"/>
          <w:bCs w:val="false"/>
          <w:i/>
          <w:iCs/>
          <w:color w:val="000000"/>
          <w:sz w:val="20"/>
          <w:szCs w:val="20"/>
        </w:rPr>
        <w:t xml:space="preserve">In our opinion and to the best of our information and according to the explanations given to us, the aforesaid standalone financial statements give the information required by the Companies Act, 2013 in the manner so required and give a true and fair view in conformity with the Indian Accounting Standards prescribed under section 133 of the Act read with the Companies (Indian Accounting Standards) Rules, 2015, as amended, of the state of affairs of the Company as at March 31, 2025, and its profit, total comprehensive income, its cash flows and the changes in equity for the year ended on that date.</w:t>
      </w:r>
    </w:p>
    <w:p>
      <w:pPr>
        <w:spacing w:before="80" w:after="80"/>
        <w:jc w:val="left"/>
      </w:pPr>
      <w:r>
        <w:rPr>
          <w:rFonts w:ascii="Arial" w:cs="Arial" w:eastAsia="Arial" w:hAnsi="Arial"/>
          <w:b/>
          <w:bCs/>
          <w:i w:val="false"/>
          <w:iCs w:val="false"/>
          <w:color w:val="000000"/>
          <w:sz w:val="20"/>
          <w:szCs w:val="20"/>
        </w:rPr>
        <w:t xml:space="preserve">M/s. S.R. Batliboi &amp; Co. LLP</w:t>
      </w:r>
    </w:p>
    <w:p>
      <w:pPr>
        <w:spacing w:before="80" w:after="80"/>
        <w:jc w:val="left"/>
      </w:pPr>
      <w:r>
        <w:rPr>
          <w:rFonts w:ascii="Arial" w:cs="Arial" w:eastAsia="Arial" w:hAnsi="Arial"/>
          <w:b w:val="false"/>
          <w:bCs w:val="false"/>
          <w:i w:val="false"/>
          <w:iCs w:val="false"/>
          <w:color w:val="000000"/>
          <w:sz w:val="20"/>
          <w:szCs w:val="20"/>
        </w:rPr>
        <w:t xml:space="preserve">Chartered Accountants | ICAI Firm Reg. No. 301003E/E300005 | Dated: 15th May 2025</w:t>
      </w:r>
    </w:p>
    <w:p>
      <w:pPr>
        <w:pBdr>
          <w:bottom w:val="single" w:color="2E75B6" w:sz="4" w:space="1"/>
        </w:pBdr>
        <w:spacing w:before="120" w:after="120"/>
      </w:pPr>
    </w:p>
    <w:p>
      <w:pPr>
        <w:pStyle w:val="Heading1"/>
        <w:spacing w:before="200" w:after="120"/>
      </w:pPr>
      <w:r>
        <w:rPr>
          <w:rFonts w:ascii="Arial" w:cs="Arial" w:eastAsia="Arial" w:hAnsi="Arial"/>
          <w:b/>
          <w:bCs/>
          <w:color w:val="1F4E79"/>
          <w:sz w:val="28"/>
          <w:szCs w:val="28"/>
        </w:rPr>
        <w:t xml:space="preserve">Statement of Profit &amp; Loss</w:t>
      </w:r>
    </w:p>
    <w:p>
      <w:pPr>
        <w:spacing w:before="80" w:after="80"/>
        <w:jc w:val="left"/>
      </w:pPr>
      <w:r>
        <w:rPr>
          <w:rFonts w:ascii="Arial" w:cs="Arial" w:eastAsia="Arial" w:hAnsi="Arial"/>
          <w:b w:val="false"/>
          <w:bCs w:val="false"/>
          <w:i/>
          <w:iCs/>
          <w:color w:val="595959"/>
          <w:sz w:val="20"/>
          <w:szCs w:val="20"/>
        </w:rPr>
        <w:t xml:space="preserve">For the year ended 31st March 2025 (₹ in Lakhs)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1F4E79" w:sz="2"/>
              <w:left w:val="single" w:color="CCCCCC" w:sz="1"/>
              <w:bottom w:val="single" w:color="1F4E79" w:sz="2"/>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Particulars (₹ in Lakhs)</w:t>
            </w:r>
          </w:p>
        </w:tc>
        <w:tc>
          <w:tcPr>
            <w:tcW w:type="dxa" w:w="1800"/>
            <w:tcBorders>
              <w:top w:val="single" w:color="1F4E79" w:sz="2"/>
              <w:left w:val="single" w:color="CCCCCC" w:sz="1"/>
              <w:bottom w:val="single" w:color="1F4E79" w:sz="2"/>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FY 2024-25</w:t>
            </w:r>
          </w:p>
        </w:tc>
        <w:tc>
          <w:tcPr>
            <w:tcW w:type="dxa" w:w="1800"/>
            <w:tcBorders>
              <w:top w:val="single" w:color="1F4E79" w:sz="2"/>
              <w:left w:val="single" w:color="CCCCCC" w:sz="1"/>
              <w:bottom w:val="single" w:color="1F4E79" w:sz="2"/>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FY 2023-24</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 INCOME</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
            </w:r>
          </w:p>
        </w:tc>
      </w:tr>
      <w:tr>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Revenue from Operations (Net)</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51,350</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44,200</w:t>
            </w:r>
          </w:p>
        </w:tc>
      </w:tr>
      <w:tr>
        <w:tc>
          <w:tcPr>
            <w:tcW w:type="dxa" w:w="5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Other Income</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1,720</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1,480</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 Income (I)</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53,070</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45,680</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II. EXPENSES</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
            </w:r>
          </w:p>
        </w:tc>
      </w:tr>
      <w:tr>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Cost of Materials Consumed</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29,400</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25,300</w:t>
            </w:r>
          </w:p>
        </w:tc>
      </w:tr>
      <w:tr>
        <w:tc>
          <w:tcPr>
            <w:tcW w:type="dxa" w:w="5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Purchases of Stock-in-Trade</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2,840</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2,420</w:t>
            </w:r>
          </w:p>
        </w:tc>
      </w:tr>
      <w:tr>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Changes in Inventories</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(820)</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(640)</w:t>
            </w:r>
          </w:p>
        </w:tc>
      </w:tr>
      <w:tr>
        <w:tc>
          <w:tcPr>
            <w:tcW w:type="dxa" w:w="5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Employee Benefit Expenses</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6,480</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5,620</w:t>
            </w:r>
          </w:p>
        </w:tc>
      </w:tr>
      <w:tr>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Finance Costs</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950</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1,080</w:t>
            </w:r>
          </w:p>
        </w:tc>
      </w:tr>
      <w:tr>
        <w:tc>
          <w:tcPr>
            <w:tcW w:type="dxa" w:w="5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Depreciation &amp; Amortisation</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2,780</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2,400</w:t>
            </w:r>
          </w:p>
        </w:tc>
      </w:tr>
      <w:tr>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Other Expenses</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4,620</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3,980</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 Expenses (II)</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46,250</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40,160</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III. PROFIT BEFORE TAX (I - II)</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6,820</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5,520</w:t>
            </w:r>
          </w:p>
        </w:tc>
      </w:tr>
      <w:tr>
        <w:tc>
          <w:tcPr>
            <w:tcW w:type="dxa" w:w="5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Tax Expense — Current Tax</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1,820</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1,420</w:t>
            </w:r>
          </w:p>
        </w:tc>
      </w:tr>
      <w:tr>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Tax Expense — Deferred Tax</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(200)</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(180)</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IV. PROFIT AFTER TAX</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5,200</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4,280</w:t>
            </w:r>
          </w:p>
        </w:tc>
      </w:tr>
      <w:tr>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Other Comprehensive Income (Net)</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220</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175</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 TOTAL COMPREHENSIVE INCOME</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5,420</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4,455</w:t>
            </w:r>
          </w:p>
        </w:tc>
      </w:tr>
      <w:tr>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Earnings Per Share (Basic) ₹</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55.25</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45.58</w:t>
            </w:r>
          </w:p>
        </w:tc>
      </w:tr>
      <w:tr>
        <w:tc>
          <w:tcPr>
            <w:tcW w:type="dxa" w:w="5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Earnings Per Share (Diluted) ₹</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54.98</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45.12</w:t>
            </w:r>
          </w:p>
        </w:tc>
      </w:tr>
    </w:tbl>
    <w:p>
      <w:pPr>
        <w:spacing w:before="80" w:after="80"/>
        <w:jc w:val="left"/>
      </w:pPr>
      <w:r>
        <w:rPr>
          <w:rFonts w:ascii="Arial" w:cs="Arial" w:eastAsia="Arial" w:hAnsi="Arial"/>
          <w:b w:val="false"/>
          <w:bCs w:val="false"/>
          <w:i w:val="false"/>
          <w:iCs w:val="false"/>
          <w:color w:val="000000"/>
          <w:sz w:val="20"/>
          <w:szCs w:val="20"/>
        </w:rPr>
        <w:t xml:space="preserve"/>
      </w:r>
    </w:p>
    <w:p>
      <w:pPr>
        <w:pBdr>
          <w:bottom w:val="single" w:color="2E75B6" w:sz="4" w:space="1"/>
        </w:pBdr>
        <w:spacing w:before="120" w:after="120"/>
      </w:pPr>
    </w:p>
    <w:p>
      <w:pPr>
        <w:pStyle w:val="Heading1"/>
        <w:spacing w:before="200" w:after="120"/>
      </w:pPr>
      <w:r>
        <w:rPr>
          <w:rFonts w:ascii="Arial" w:cs="Arial" w:eastAsia="Arial" w:hAnsi="Arial"/>
          <w:b/>
          <w:bCs/>
          <w:color w:val="1F4E79"/>
          <w:sz w:val="28"/>
          <w:szCs w:val="28"/>
        </w:rPr>
        <w:t xml:space="preserve">Balance Sheet</w:t>
      </w:r>
    </w:p>
    <w:p>
      <w:pPr>
        <w:spacing w:before="80" w:after="80"/>
        <w:jc w:val="left"/>
      </w:pPr>
      <w:r>
        <w:rPr>
          <w:rFonts w:ascii="Arial" w:cs="Arial" w:eastAsia="Arial" w:hAnsi="Arial"/>
          <w:b w:val="false"/>
          <w:bCs w:val="false"/>
          <w:i/>
          <w:iCs/>
          <w:color w:val="595959"/>
          <w:sz w:val="20"/>
          <w:szCs w:val="20"/>
        </w:rPr>
        <w:t xml:space="preserve">As at 31st March 2025 (₹ in Lakhs)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1F4E79" w:sz="2"/>
              <w:left w:val="single" w:color="CCCCCC" w:sz="1"/>
              <w:bottom w:val="single" w:color="1F4E79" w:sz="2"/>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Particulars (₹ in Lakhs)</w:t>
            </w:r>
          </w:p>
        </w:tc>
        <w:tc>
          <w:tcPr>
            <w:tcW w:type="dxa" w:w="1800"/>
            <w:tcBorders>
              <w:top w:val="single" w:color="1F4E79" w:sz="2"/>
              <w:left w:val="single" w:color="CCCCCC" w:sz="1"/>
              <w:bottom w:val="single" w:color="1F4E79" w:sz="2"/>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FY 2024-25</w:t>
            </w:r>
          </w:p>
        </w:tc>
        <w:tc>
          <w:tcPr>
            <w:tcW w:type="dxa" w:w="1800"/>
            <w:tcBorders>
              <w:top w:val="single" w:color="1F4E79" w:sz="2"/>
              <w:left w:val="single" w:color="CCCCCC" w:sz="1"/>
              <w:bottom w:val="single" w:color="1F4E79" w:sz="2"/>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FY 2023-24</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EQUITY &amp; LIABILITIES</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
            </w:r>
          </w:p>
        </w:tc>
      </w:tr>
      <w:tr>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Equity Share Capital</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940</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940</w:t>
            </w:r>
          </w:p>
        </w:tc>
      </w:tr>
      <w:tr>
        <w:tc>
          <w:tcPr>
            <w:tcW w:type="dxa" w:w="5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Other Equity</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47,560</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41,930</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 Equity (A)</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48,500</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42,870</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Non-Current Liabilities</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
            </w:r>
          </w:p>
        </w:tc>
      </w:tr>
      <w:tr>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Long-Term Borrowings</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8,400</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10,200</w:t>
            </w:r>
          </w:p>
        </w:tc>
      </w:tr>
      <w:tr>
        <w:tc>
          <w:tcPr>
            <w:tcW w:type="dxa" w:w="5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Deferred Tax Liabilities (Net)</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1,640</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1,840</w:t>
            </w:r>
          </w:p>
        </w:tc>
      </w:tr>
      <w:tr>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Other Non-Current Liabilities</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580</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460</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 Non-Current Liabilities (B)</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10,620</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12,500</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Current Liabilities</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
            </w:r>
          </w:p>
        </w:tc>
      </w:tr>
      <w:tr>
        <w:tc>
          <w:tcPr>
            <w:tcW w:type="dxa" w:w="5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Short-Term Borrowings</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4,200</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3,800</w:t>
            </w:r>
          </w:p>
        </w:tc>
      </w:tr>
      <w:tr>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Trade Payables</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9,840</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8,620</w:t>
            </w:r>
          </w:p>
        </w:tc>
      </w:tr>
      <w:tr>
        <w:tc>
          <w:tcPr>
            <w:tcW w:type="dxa" w:w="5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Other Current Liabilities</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3,460</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2,980</w:t>
            </w:r>
          </w:p>
        </w:tc>
      </w:tr>
      <w:tr>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Short-Term Provisions</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1,580</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1,340</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 Current Liabilities (C)</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19,080</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16,740</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 EQUITY &amp; LIABILITIES (A+B+C)</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78,200</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72,110</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ASSETS</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Non-Current Assets</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
            </w:r>
          </w:p>
        </w:tc>
      </w:tr>
      <w:tr>
        <w:tc>
          <w:tcPr>
            <w:tcW w:type="dxa" w:w="5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Property, Plant &amp; Equipment (Net)</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32,840</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28,650</w:t>
            </w:r>
          </w:p>
        </w:tc>
      </w:tr>
      <w:tr>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Capital Work-in-Progress</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2,480</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1,920</w:t>
            </w:r>
          </w:p>
        </w:tc>
      </w:tr>
      <w:tr>
        <w:tc>
          <w:tcPr>
            <w:tcW w:type="dxa" w:w="5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Intangible Assets</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980</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820</w:t>
            </w:r>
          </w:p>
        </w:tc>
      </w:tr>
      <w:tr>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Right-of-Use Assets</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1,640</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1,480</w:t>
            </w:r>
          </w:p>
        </w:tc>
      </w:tr>
      <w:tr>
        <w:tc>
          <w:tcPr>
            <w:tcW w:type="dxa" w:w="5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Long-Term Investments</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4,200</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3,600</w:t>
            </w:r>
          </w:p>
        </w:tc>
      </w:tr>
      <w:tr>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Other Non-Current Assets</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1,820</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1,640</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 Non-Current Assets (D)</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43,960</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38,110</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Current Assets</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
            </w:r>
          </w:p>
        </w:tc>
      </w:tr>
      <w:tr>
        <w:tc>
          <w:tcPr>
            <w:tcW w:type="dxa" w:w="5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Inventories</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12,840</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11,200</w:t>
            </w:r>
          </w:p>
        </w:tc>
      </w:tr>
      <w:tr>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Trade Receivables</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14,620</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13,480</w:t>
            </w:r>
          </w:p>
        </w:tc>
      </w:tr>
      <w:tr>
        <w:tc>
          <w:tcPr>
            <w:tcW w:type="dxa" w:w="5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Cash &amp; Cash Equivalents</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2,480</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4,820</w:t>
            </w:r>
          </w:p>
        </w:tc>
      </w:tr>
      <w:tr>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Bank Balances (Other)</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1,640</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1,280</w:t>
            </w:r>
          </w:p>
        </w:tc>
      </w:tr>
      <w:tr>
        <w:tc>
          <w:tcPr>
            <w:tcW w:type="dxa" w:w="5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Short-Term Loans &amp; Advances</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1,820</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1,680</w:t>
            </w:r>
          </w:p>
        </w:tc>
      </w:tr>
      <w:tr>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Other Current Assets</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840</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1,540</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 Current Assets (E)</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34,240</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34,000</w:t>
            </w:r>
          </w:p>
        </w:tc>
      </w:tr>
      <w:tr>
        <w:tc>
          <w:tcPr>
            <w:tcW w:type="dxa" w:w="5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 ASSETS (D+E)</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78,200</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72,110</w:t>
            </w:r>
          </w:p>
        </w:tc>
      </w:tr>
    </w:tbl>
    <w:p>
      <w:pPr>
        <w:spacing w:before="80" w:after="80"/>
        <w:jc w:val="left"/>
      </w:pPr>
      <w:r>
        <w:rPr>
          <w:rFonts w:ascii="Arial" w:cs="Arial" w:eastAsia="Arial" w:hAnsi="Arial"/>
          <w:b w:val="false"/>
          <w:bCs w:val="false"/>
          <w:i w:val="false"/>
          <w:iCs w:val="false"/>
          <w:color w:val="000000"/>
          <w:sz w:val="20"/>
          <w:szCs w:val="20"/>
        </w:rPr>
        <w:t xml:space="preserve"/>
      </w:r>
    </w:p>
    <w:p>
      <w:pPr>
        <w:pBdr>
          <w:bottom w:val="single" w:color="2E75B6" w:sz="4" w:space="1"/>
        </w:pBdr>
        <w:spacing w:before="120" w:after="120"/>
      </w:pPr>
    </w:p>
    <w:p>
      <w:pPr>
        <w:pStyle w:val="Heading1"/>
        <w:spacing w:before="200" w:after="120"/>
      </w:pPr>
      <w:r>
        <w:rPr>
          <w:rFonts w:ascii="Arial" w:cs="Arial" w:eastAsia="Arial" w:hAnsi="Arial"/>
          <w:b/>
          <w:bCs/>
          <w:color w:val="1F4E79"/>
          <w:sz w:val="28"/>
          <w:szCs w:val="28"/>
        </w:rPr>
        <w:t xml:space="preserve">Notes to Accounts — Key Disclosures</w:t>
      </w:r>
    </w:p>
    <w:p>
      <w:pPr>
        <w:pStyle w:val="Heading2"/>
        <w:spacing w:before="200" w:after="120"/>
      </w:pPr>
      <w:r>
        <w:rPr>
          <w:rFonts w:ascii="Arial" w:cs="Arial" w:eastAsia="Arial" w:hAnsi="Arial"/>
          <w:b/>
          <w:bCs/>
          <w:color w:val="2E75B6"/>
          <w:sz w:val="24"/>
          <w:szCs w:val="24"/>
        </w:rPr>
        <w:t xml:space="preserve">Note 1 — Significant Accounting Policies</w:t>
      </w:r>
    </w:p>
    <w:p>
      <w:pPr>
        <w:spacing w:before="80" w:after="80"/>
        <w:jc w:val="left"/>
      </w:pPr>
      <w:r>
        <w:rPr>
          <w:rFonts w:ascii="Arial" w:cs="Arial" w:eastAsia="Arial" w:hAnsi="Arial"/>
          <w:b w:val="false"/>
          <w:bCs w:val="false"/>
          <w:i w:val="false"/>
          <w:iCs w:val="false"/>
          <w:color w:val="000000"/>
          <w:sz w:val="20"/>
          <w:szCs w:val="20"/>
        </w:rPr>
        <w:t xml:space="preserve">Basis of Preparation: These financial statements have been prepared in accordance with the Indian Accounting Standards (Ind AS) as prescribed under Section 133 of the Companies Act, 2013. The financial statements have been prepared under the historical cost convention on accrual basis, except for certain financial instruments which are measured at fair values at the end of each reporting period.</w:t>
      </w:r>
    </w:p>
    <w:p>
      <w:pPr>
        <w:pStyle w:val="Heading2"/>
        <w:spacing w:before="200" w:after="120"/>
      </w:pPr>
      <w:r>
        <w:rPr>
          <w:rFonts w:ascii="Arial" w:cs="Arial" w:eastAsia="Arial" w:hAnsi="Arial"/>
          <w:b/>
          <w:bCs/>
          <w:color w:val="2E75B6"/>
          <w:sz w:val="24"/>
          <w:szCs w:val="24"/>
        </w:rPr>
        <w:t xml:space="preserve">Note 2 — Property, Plant and Equipment</w:t>
      </w:r>
    </w:p>
    <w:p>
      <w:pPr>
        <w:spacing w:before="80" w:after="80"/>
        <w:jc w:val="left"/>
      </w:pPr>
      <w:r>
        <w:rPr>
          <w:rFonts w:ascii="Arial" w:cs="Arial" w:eastAsia="Arial" w:hAnsi="Arial"/>
          <w:b w:val="false"/>
          <w:bCs w:val="false"/>
          <w:i w:val="false"/>
          <w:iCs w:val="false"/>
          <w:color w:val="000000"/>
          <w:sz w:val="20"/>
          <w:szCs w:val="20"/>
        </w:rPr>
        <w:t xml:space="preserve">Gross Block as at 31st March 2025 amounts to ₹52,840 lakhs (Previous Year: ₹46,210 lakhs). The Company capitalised ₹7,480 lakhs during the year (Previous Year: ₹6,120 lakhs). Accumulated depreciation as at 31st March 2025 stands at ₹20,000 lakhs. The Company uses Straight Line Method (SLM) for computing depreciation as per useful lives prescribed under Schedule II of the Companies Act, 2013.</w:t>
      </w:r>
    </w:p>
    <w:p>
      <w:pPr>
        <w:pStyle w:val="Heading2"/>
        <w:spacing w:before="200" w:after="120"/>
      </w:pPr>
      <w:r>
        <w:rPr>
          <w:rFonts w:ascii="Arial" w:cs="Arial" w:eastAsia="Arial" w:hAnsi="Arial"/>
          <w:b/>
          <w:bCs/>
          <w:color w:val="2E75B6"/>
          <w:sz w:val="24"/>
          <w:szCs w:val="24"/>
        </w:rPr>
        <w:t xml:space="preserve">Note 3 — Borrowings</w:t>
      </w:r>
    </w:p>
    <w:p>
      <w:pPr>
        <w:spacing w:before="80" w:after="80"/>
        <w:jc w:val="left"/>
      </w:pPr>
      <w:r>
        <w:rPr>
          <w:rFonts w:ascii="Arial" w:cs="Arial" w:eastAsia="Arial" w:hAnsi="Arial"/>
          <w:b w:val="false"/>
          <w:bCs w:val="false"/>
          <w:i w:val="false"/>
          <w:iCs w:val="false"/>
          <w:color w:val="000000"/>
          <w:sz w:val="20"/>
          <w:szCs w:val="20"/>
        </w:rPr>
        <w:t xml:space="preserve">As at 31st March 2025, total borrowings (current + non-current) stood at ₹12,600 lakhs, down from ₹14,000 lakhs in the previous year. The Company's primary banking relationships are with HDFC Bank, Yes Bank, ICICI Bank, and State Bank of India. Weighted average cost of debt as at year-end was 8.45% per annum. The Company maintains compliance with all loan covenants including Debt Service Coverage Ratio (DSCR &gt; 1.5x) and Debt/EBITDA (&lt; 2.5x).</w:t>
      </w:r>
    </w:p>
    <w:p>
      <w:pPr>
        <w:pStyle w:val="Heading2"/>
        <w:spacing w:before="200" w:after="120"/>
      </w:pPr>
      <w:r>
        <w:rPr>
          <w:rFonts w:ascii="Arial" w:cs="Arial" w:eastAsia="Arial" w:hAnsi="Arial"/>
          <w:b/>
          <w:bCs/>
          <w:color w:val="2E75B6"/>
          <w:sz w:val="24"/>
          <w:szCs w:val="24"/>
        </w:rPr>
        <w:t xml:space="preserve">Note 4 — Revenue Recognition</w:t>
      </w:r>
    </w:p>
    <w:p>
      <w:pPr>
        <w:spacing w:before="80" w:after="80"/>
        <w:jc w:val="left"/>
      </w:pPr>
      <w:r>
        <w:rPr>
          <w:rFonts w:ascii="Arial" w:cs="Arial" w:eastAsia="Arial" w:hAnsi="Arial"/>
          <w:b w:val="false"/>
          <w:bCs w:val="false"/>
          <w:i w:val="false"/>
          <w:iCs w:val="false"/>
          <w:color w:val="000000"/>
          <w:sz w:val="20"/>
          <w:szCs w:val="20"/>
        </w:rPr>
        <w:t xml:space="preserve">Revenue is recognised upon transfer of control of promised goods or services to customers in an amount that reflects the consideration to which the Company expects to be entitled in exchange for those goods or services. Revenue from product sales is recognised at the point in time when control is transferred, which is generally when goods are dispatched from the factory or delivered to the customer as per contractual terms.</w:t>
      </w:r>
    </w:p>
    <w:p>
      <w:pPr>
        <w:pStyle w:val="Heading2"/>
        <w:spacing w:before="200" w:after="120"/>
      </w:pPr>
      <w:r>
        <w:rPr>
          <w:rFonts w:ascii="Arial" w:cs="Arial" w:eastAsia="Arial" w:hAnsi="Arial"/>
          <w:b/>
          <w:bCs/>
          <w:color w:val="2E75B6"/>
          <w:sz w:val="24"/>
          <w:szCs w:val="24"/>
        </w:rPr>
        <w:t xml:space="preserve">Note 5 — Segment Information</w:t>
      </w:r>
    </w:p>
    <w:p>
      <w:pPr>
        <w:spacing w:before="80" w:after="80"/>
        <w:jc w:val="left"/>
      </w:pPr>
      <w:r>
        <w:rPr>
          <w:rFonts w:ascii="Arial" w:cs="Arial" w:eastAsia="Arial" w:hAnsi="Arial"/>
          <w:b w:val="false"/>
          <w:bCs w:val="false"/>
          <w:i w:val="false"/>
          <w:iCs w:val="false"/>
          <w:color w:val="000000"/>
          <w:sz w:val="20"/>
          <w:szCs w:val="20"/>
        </w:rPr>
        <w:t xml:space="preserve">The Company operates in two reportable segments: (i) Auto-Components Division — contributing ₹32,420 lakhs to segment revenue with EBIT margin of 18.2%; and (ii) Industrial Engineering Division — contributing ₹12,680 lakhs with EBIT margin of 14.8%. Unallocated corporate income and expenses, including finance costs, are not allocable to reportable segments.</w:t>
      </w:r>
    </w:p>
    <w:p>
      <w:pPr>
        <w:pStyle w:val="Heading2"/>
        <w:spacing w:before="200" w:after="120"/>
      </w:pPr>
      <w:r>
        <w:rPr>
          <w:rFonts w:ascii="Arial" w:cs="Arial" w:eastAsia="Arial" w:hAnsi="Arial"/>
          <w:b/>
          <w:bCs/>
          <w:color w:val="2E75B6"/>
          <w:sz w:val="24"/>
          <w:szCs w:val="24"/>
        </w:rPr>
        <w:t xml:space="preserve">Note 6 — Related Party Transactions</w:t>
      </w:r>
    </w:p>
    <w:p>
      <w:pPr>
        <w:spacing w:before="80" w:after="80"/>
        <w:jc w:val="left"/>
      </w:pPr>
      <w:r>
        <w:rPr>
          <w:rFonts w:ascii="Arial" w:cs="Arial" w:eastAsia="Arial" w:hAnsi="Arial"/>
          <w:b w:val="false"/>
          <w:bCs w:val="false"/>
          <w:i w:val="false"/>
          <w:iCs w:val="false"/>
          <w:color w:val="000000"/>
          <w:sz w:val="20"/>
          <w:szCs w:val="20"/>
        </w:rPr>
        <w:t xml:space="preserve">Key related party transactions during FY 2024-25 include: (i) Purchase of raw materials from BIL Components Private Limited (promoter group entity) — ₹1,840 lakhs; (ii) Sale of finished goods to BIL Trading FZE, UAE (wholly owned subsidiary) — ₹2,480 lakhs; (iii) Managerial remuneration to CMD — ₹380 lakhs; (iv) Rent paid to a company in which director is interested — ₹120 lakhs. All transactions are at arm's length and approved by the Audit Committee.</w:t>
      </w:r>
    </w:p>
    <w:p>
      <w:pPr>
        <w:pStyle w:val="Heading2"/>
        <w:spacing w:before="200" w:after="120"/>
      </w:pPr>
      <w:r>
        <w:rPr>
          <w:rFonts w:ascii="Arial" w:cs="Arial" w:eastAsia="Arial" w:hAnsi="Arial"/>
          <w:b/>
          <w:bCs/>
          <w:color w:val="2E75B6"/>
          <w:sz w:val="24"/>
          <w:szCs w:val="24"/>
        </w:rPr>
        <w:t xml:space="preserve">Note 7 — Contingent Liabilities</w:t>
      </w:r>
    </w:p>
    <w:p>
      <w:pPr>
        <w:spacing w:before="80" w:after="80"/>
        <w:jc w:val="left"/>
      </w:pPr>
      <w:r>
        <w:rPr>
          <w:rFonts w:ascii="Arial" w:cs="Arial" w:eastAsia="Arial" w:hAnsi="Arial"/>
          <w:b w:val="false"/>
          <w:bCs w:val="false"/>
          <w:i w:val="false"/>
          <w:iCs w:val="false"/>
          <w:color w:val="000000"/>
          <w:sz w:val="20"/>
          <w:szCs w:val="20"/>
        </w:rPr>
        <w:t xml:space="preserve">(a) Claims against the Company not acknowledged as debts: ₹420 lakhs (labour disputes — 14 cases). (b) Income Tax demands under appeal: ₹284 lakhs for AY 2021-22 and AY 2022-23. (c) Excise Duty and Customs demands: ₹96 lakhs. (d) GST disputes: ₹58 lakhs. The Company, based on legal opinion, believes these claims are unlikely to crystallize. No provision has been made for these items.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18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2026-03-03T14:39:56.423Z</dcterms:created>
  <dcterms:modified xsi:type="dcterms:W3CDTF">2026-03-03T14:39:56.423Z</dcterms:modified>
</cp:coreProperties>
</file>

<file path=docProps/custom.xml><?xml version="1.0" encoding="utf-8"?>
<Properties xmlns="http://schemas.openxmlformats.org/officeDocument/2006/custom-properties" xmlns:vt="http://schemas.openxmlformats.org/officeDocument/2006/docPropsVTypes"/>
</file>