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C00000"/>
          <w:sz w:val="32"/>
          <w:szCs w:val="32"/>
        </w:rPr>
        <w:t xml:space="preserve">CRISIL RATINGS LIMITED</w:t>
      </w:r>
    </w:p>
    <w:p>
      <w:pPr>
        <w:spacing w:before="0" w:after="40"/>
        <w:jc w:val="center"/>
      </w:pPr>
      <w:r>
        <w:rPr>
          <w:rFonts w:ascii="Arial" w:cs="Arial" w:eastAsia="Arial" w:hAnsi="Arial"/>
          <w:color w:val="595959"/>
          <w:sz w:val="22"/>
          <w:szCs w:val="22"/>
        </w:rPr>
        <w:t xml:space="preserve">Credit Rating Report — May 2025</w:t>
      </w:r>
    </w:p>
    <w:p>
      <w:pPr>
        <w:pBdr>
          <w:bottom w:val="single" w:color="2E75B6"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2400"/>
        <w:gridCol w:w="108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Issuer</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Bharat Industries Limited</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Rating Date</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 May 2025</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Instrument</w:t>
            </w:r>
          </w:p>
        </w:tc>
        <w:tc>
          <w:tcPr>
            <w:tcW w:type="dxa" w:w="34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Long-Term Bank Facilities (₹500 Cr)</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Rating</w:t>
            </w:r>
          </w:p>
        </w:tc>
        <w:tc>
          <w:tcPr>
            <w:tcW w:type="dxa" w:w="10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CRISIL AA-/Stable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Instrument 2</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Short-Term Bank Facilities (₹200 Cr)</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Rating 2</w:t>
            </w:r>
          </w:p>
        </w:tc>
        <w:tc>
          <w:tcPr>
            <w:tcW w:type="dxa" w:w="1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CRISIL A1+</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Previous Rating</w:t>
            </w:r>
          </w:p>
        </w:tc>
        <w:tc>
          <w:tcPr>
            <w:tcW w:type="dxa" w:w="34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CRISIL A+/Positive (May 2024)</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Rating Action</w:t>
            </w:r>
          </w:p>
        </w:tc>
        <w:tc>
          <w:tcPr>
            <w:tcW w:type="dxa" w:w="108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UPGRADED</w:t>
            </w:r>
          </w:p>
        </w:tc>
      </w:tr>
    </w:tbl>
    <w:p>
      <w:pPr>
        <w:spacing w:before="80" w:after="80"/>
        <w:jc w:val="left"/>
      </w:pPr>
      <w:r>
        <w:rPr>
          <w:rFonts w:ascii="Arial" w:cs="Arial" w:eastAsia="Arial" w:hAnsi="Arial"/>
          <w:b w:val="false"/>
          <w:bCs w:val="false"/>
          <w:i w:val="false"/>
          <w:iCs w:val="false"/>
          <w:color w:val="000000"/>
          <w:sz w:val="20"/>
          <w:szCs w:val="20"/>
        </w:rPr>
        <w:t xml:space="preserve"/>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Rating Rationale</w:t>
      </w:r>
    </w:p>
    <w:p>
      <w:pPr>
        <w:spacing w:before="80" w:after="80"/>
        <w:jc w:val="left"/>
      </w:pPr>
      <w:r>
        <w:rPr>
          <w:rFonts w:ascii="Arial" w:cs="Arial" w:eastAsia="Arial" w:hAnsi="Arial"/>
          <w:b w:val="false"/>
          <w:bCs w:val="false"/>
          <w:i w:val="false"/>
          <w:iCs w:val="false"/>
          <w:color w:val="000000"/>
          <w:sz w:val="20"/>
          <w:szCs w:val="20"/>
        </w:rPr>
        <w:t xml:space="preserve">The upgrade to CRISIL AA-/Stable from CRISIL A+/Positive reflects Bharat Industries Limited's (BIL) continued improvement in its business risk profile, driven by sustained revenue growth, improving profitability, and material deleveraging over the past two years. The ratings also factor in BIL's established market position as a Tier-1 auto-component supplier, its diversified product portfolio, and long-standing relationships with marquee OEM customers.</w:t>
      </w:r>
    </w:p>
    <w:p>
      <w:pPr>
        <w:spacing w:before="80" w:after="80"/>
        <w:jc w:val="left"/>
      </w:pPr>
      <w:r>
        <w:rPr>
          <w:rFonts w:ascii="Arial" w:cs="Arial" w:eastAsia="Arial" w:hAnsi="Arial"/>
          <w:b w:val="false"/>
          <w:bCs w:val="false"/>
          <w:i w:val="false"/>
          <w:iCs w:val="false"/>
          <w:color w:val="000000"/>
          <w:sz w:val="20"/>
          <w:szCs w:val="20"/>
        </w:rPr>
        <w:t xml:space="preserve">CRISIL's rating action is supported by: (1) Revenue CAGR of ~15% over FY23-FY25 with EBITDA margin expansion from 21.1% to 22.6%; (2) Net debt/EBITDA improving sharply from 1.82x in FY23 to 1.09x in FY25, with further reduction projected to 0.60x by FY27; (3) Strong cash accruals funding 60% of capex, reducing reliance on external borrowings; (4) Interest coverage ratio improving to 7.4x in FY25 from 5.2x in FY23.</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Business Risk Profile</w:t>
      </w:r>
    </w:p>
    <w:p>
      <w:pPr>
        <w:pStyle w:val="Heading2"/>
        <w:spacing w:before="200" w:after="120"/>
      </w:pPr>
      <w:r>
        <w:rPr>
          <w:rFonts w:ascii="Arial" w:cs="Arial" w:eastAsia="Arial" w:hAnsi="Arial"/>
          <w:b/>
          <w:bCs/>
          <w:color w:val="2E75B6"/>
          <w:sz w:val="24"/>
          <w:szCs w:val="24"/>
        </w:rPr>
        <w:t xml:space="preserve">Industry &amp; Competitive Position</w:t>
      </w:r>
    </w:p>
    <w:p>
      <w:pPr>
        <w:spacing w:before="80" w:after="80"/>
        <w:jc w:val="left"/>
      </w:pPr>
      <w:r>
        <w:rPr>
          <w:rFonts w:ascii="Arial" w:cs="Arial" w:eastAsia="Arial" w:hAnsi="Arial"/>
          <w:b w:val="false"/>
          <w:bCs w:val="false"/>
          <w:i w:val="false"/>
          <w:iCs w:val="false"/>
          <w:color w:val="000000"/>
          <w:sz w:val="20"/>
          <w:szCs w:val="20"/>
        </w:rPr>
        <w:t xml:space="preserve">The Indian auto-component industry is expected to reach USD 100 billion by FY27, growing at a CAGR of ~9%, driven by strong domestic vehicle production and rising export opportunities. BIL operates in the precision machining and fabrication segment, which is characterised by high barriers to entry, long-term OEM relationships, and sticky demand.</w:t>
      </w:r>
    </w:p>
    <w:p>
      <w:pPr>
        <w:spacing w:before="80" w:after="80"/>
        <w:jc w:val="left"/>
      </w:pPr>
      <w:r>
        <w:rPr>
          <w:rFonts w:ascii="Arial" w:cs="Arial" w:eastAsia="Arial" w:hAnsi="Arial"/>
          <w:b w:val="false"/>
          <w:bCs w:val="false"/>
          <w:i w:val="false"/>
          <w:iCs w:val="false"/>
          <w:color w:val="000000"/>
          <w:sz w:val="20"/>
          <w:szCs w:val="20"/>
        </w:rPr>
        <w:t xml:space="preserve">BIL has a dominant position in its core product segments, with market shares of 14% in passenger vehicle components and 8% in commercial vehicle components. The Company's Top 5 customers constitute ~58% of revenues, indicating moderate customer concentration. However, this risk is mitigated by multi-year supply agreements and the high switching costs inherent in the precision components business.</w:t>
      </w:r>
    </w:p>
    <w:p>
      <w:pPr>
        <w:pStyle w:val="Heading2"/>
        <w:spacing w:before="200" w:after="120"/>
      </w:pPr>
      <w:r>
        <w:rPr>
          <w:rFonts w:ascii="Arial" w:cs="Arial" w:eastAsia="Arial" w:hAnsi="Arial"/>
          <w:b/>
          <w:bCs/>
          <w:color w:val="2E75B6"/>
          <w:sz w:val="24"/>
          <w:szCs w:val="24"/>
        </w:rPr>
        <w:t xml:space="preserve">Financial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c>
          <w:tcPr>
            <w:tcW w:type="dxa" w:w="27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Financial Metrics</w:t>
            </w:r>
          </w:p>
        </w:tc>
        <w:tc>
          <w:tcPr>
            <w:tcW w:type="dxa" w:w="132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FY23</w:t>
            </w:r>
          </w:p>
        </w:tc>
        <w:tc>
          <w:tcPr>
            <w:tcW w:type="dxa" w:w="132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FY24</w:t>
            </w:r>
          </w:p>
        </w:tc>
        <w:tc>
          <w:tcPr>
            <w:tcW w:type="dxa" w:w="132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FY25A</w:t>
            </w:r>
          </w:p>
        </w:tc>
        <w:tc>
          <w:tcPr>
            <w:tcW w:type="dxa" w:w="132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FY26E</w:t>
            </w:r>
          </w:p>
        </w:tc>
        <w:tc>
          <w:tcPr>
            <w:tcW w:type="dxa" w:w="132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FY27E</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 Cr)</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3,850</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4,420</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5,135</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5,920E</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6,740E</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Revenue Growth (%)</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12.4%</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14.8%</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16.2%</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15.3%</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13.8%</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EBITDA (₹ Cr)</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812</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968</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1,161</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1,328</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1,511</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EBITDA Margin (%)</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21.1%</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21.9%</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22.6%</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22.4%</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22.4%</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Interest Coverage (x)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5.2x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6.1x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7.4x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8.2x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9.1x</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Debt (₹ Cr)</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1,480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1,400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1,260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1,100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900</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Debt/EBITDA (x)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1.82x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1.45x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1.09x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0.83x</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0.60x</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Debt/Equity (x)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0.52x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0.52x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0.42x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0.34x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0.26x</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ROCE (%)</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18.4%</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19.8%</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21.2%</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22.5%</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23.8%</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 Ratio (x)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1.58x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1.72x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1.84x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1.90x</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2.00x</w:t>
            </w:r>
          </w:p>
        </w:tc>
      </w:tr>
      <w:tr>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 Working Capital Days</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68</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62</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58</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55</w:t>
            </w:r>
          </w:p>
        </w:tc>
        <w:tc>
          <w:tcPr>
            <w:tcW w:type="dxa" w:w="13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52</w:t>
            </w:r>
          </w:p>
        </w:tc>
      </w:tr>
      <w:tr>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Free Cash Flow (₹ Cr)</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180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248</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bCs/>
                <w:color w:val="000000"/>
                <w:sz w:val="18"/>
                <w:szCs w:val="18"/>
              </w:rPr>
              <w:t xml:space="preserve">345</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420</w:t>
            </w:r>
          </w:p>
        </w:tc>
        <w:tc>
          <w:tcPr>
            <w:tcW w:type="dxa" w:w="132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right"/>
            </w:pPr>
            <w:r>
              <w:rPr>
                <w:rFonts w:ascii="Arial" w:cs="Arial" w:eastAsia="Arial" w:hAnsi="Arial"/>
                <w:b w:val="false"/>
                <w:bCs w:val="false"/>
                <w:color w:val="000000"/>
                <w:sz w:val="18"/>
                <w:szCs w:val="18"/>
              </w:rPr>
              <w:t xml:space="preserve">510</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00" w:after="120"/>
      </w:pPr>
      <w:r>
        <w:rPr>
          <w:rFonts w:ascii="Arial" w:cs="Arial" w:eastAsia="Arial" w:hAnsi="Arial"/>
          <w:b/>
          <w:bCs/>
          <w:color w:val="2E75B6"/>
          <w:sz w:val="24"/>
          <w:szCs w:val="24"/>
        </w:rPr>
        <w:t xml:space="preserve">Rating Sensitivities</w:t>
      </w:r>
    </w:p>
    <w:p>
      <w:pPr>
        <w:spacing w:before="80" w:after="80"/>
        <w:jc w:val="left"/>
      </w:pPr>
      <w:r>
        <w:rPr>
          <w:rFonts w:ascii="Arial" w:cs="Arial" w:eastAsia="Arial" w:hAnsi="Arial"/>
          <w:b w:val="false"/>
          <w:bCs w:val="false"/>
          <w:i w:val="false"/>
          <w:iCs w:val="false"/>
          <w:color w:val="000000"/>
          <w:sz w:val="20"/>
          <w:szCs w:val="20"/>
        </w:rPr>
        <w:t xml:space="preserve">Factors that could lead to UPGRADE: Sustained improvement in EBITDA margin to above 24% on a sustained basis; Net Debt/EBITDA below 0.5x; Significant positive revenue and profitability traction from EV segment.</w:t>
      </w:r>
    </w:p>
    <w:p>
      <w:pPr>
        <w:spacing w:before="80" w:after="80"/>
        <w:jc w:val="left"/>
      </w:pPr>
      <w:r>
        <w:rPr>
          <w:rFonts w:ascii="Arial" w:cs="Arial" w:eastAsia="Arial" w:hAnsi="Arial"/>
          <w:b w:val="false"/>
          <w:bCs w:val="false"/>
          <w:i w:val="false"/>
          <w:iCs w:val="false"/>
          <w:color w:val="000000"/>
          <w:sz w:val="20"/>
          <w:szCs w:val="20"/>
        </w:rPr>
        <w:t xml:space="preserve">Factors that could lead to DOWNGRADE: Significant revenue decline or market share loss to OEM customers; EBITDA margin deterioration below 19% due to competitive pressure or input cost spike; Net Debt/EBITDA exceeding 2.0x due to debt-funded capex or adverse working capital movement; Large unrelated diversification.</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Liquidity Profile</w:t>
      </w:r>
    </w:p>
    <w:p>
      <w:pPr>
        <w:spacing w:before="80" w:after="80"/>
        <w:jc w:val="left"/>
      </w:pPr>
      <w:r>
        <w:rPr>
          <w:rFonts w:ascii="Arial" w:cs="Arial" w:eastAsia="Arial" w:hAnsi="Arial"/>
          <w:b w:val="false"/>
          <w:bCs w:val="false"/>
          <w:i w:val="false"/>
          <w:iCs w:val="false"/>
          <w:color w:val="000000"/>
          <w:sz w:val="20"/>
          <w:szCs w:val="20"/>
        </w:rPr>
        <w:t xml:space="preserve">BIL's liquidity is assessed as Strong. Cash and cash equivalents as at 31 March 2025 stood at ₹248 crore. The Company had undrawn working capital lines of ₹320 crore. Annual free cash flow generation is projected at ₹345-500 crore over FY26-FY27. The Company has no significant debt repayment obligations in the next 24 months, with bullet maturities well spread out.</w:t>
      </w:r>
    </w:p>
    <w:p>
      <w:pPr>
        <w:spacing w:before="80" w:after="80"/>
        <w:jc w:val="left"/>
      </w:pPr>
      <w:r>
        <w:rPr>
          <w:rFonts w:ascii="Arial" w:cs="Arial" w:eastAsia="Arial" w:hAnsi="Arial"/>
          <w:b w:val="false"/>
          <w:bCs w:val="false"/>
          <w:i w:val="false"/>
          <w:iCs w:val="false"/>
          <w:color w:val="000000"/>
          <w:sz w:val="20"/>
          <w:szCs w:val="20"/>
        </w:rPr>
        <w:t xml:space="preserve">The Company's cash conversion cycle of 58 days (FY25) has been steadily improving from 68 days in FY23, reflecting disciplined working capital management. Inventory days have reduced from 48 to 42, while creditor days have been extended through supply chain financing programmes.</w:t>
      </w:r>
    </w:p>
    <w:p>
      <w:pPr>
        <w:pStyle w:val="Heading2"/>
        <w:spacing w:before="200" w:after="120"/>
      </w:pPr>
      <w:r>
        <w:rPr>
          <w:rFonts w:ascii="Arial" w:cs="Arial" w:eastAsia="Arial" w:hAnsi="Arial"/>
          <w:b/>
          <w:bCs/>
          <w:color w:val="2E75B6"/>
          <w:sz w:val="24"/>
          <w:szCs w:val="24"/>
        </w:rPr>
        <w:t xml:space="preserve">About CRISIL Ratings</w:t>
      </w:r>
    </w:p>
    <w:p>
      <w:pPr>
        <w:spacing w:before="80" w:after="80"/>
        <w:jc w:val="left"/>
      </w:pPr>
      <w:r>
        <w:rPr>
          <w:rFonts w:ascii="Arial" w:cs="Arial" w:eastAsia="Arial" w:hAnsi="Arial"/>
          <w:b w:val="false"/>
          <w:bCs w:val="false"/>
          <w:i w:val="false"/>
          <w:iCs w:val="false"/>
          <w:color w:val="000000"/>
          <w:sz w:val="20"/>
          <w:szCs w:val="20"/>
        </w:rPr>
        <w:t xml:space="preserve">CRISIL Ratings Limited (a subsidiary of S&amp;P Global) is India's leading credit rating agency. CRISIL Ratings has rated more than 33,000 large and mid-scale corporates and financial institutions. This report is provided for information purposes only. CRISIL's ratings do not constitute a recommendation to buy, sell, or hold any security. Ratings are subject to revision, suspension, or withdrawal at any time by CRISIL.</w:t>
      </w:r>
    </w:p>
    <w:p>
      <w:pPr>
        <w:spacing w:before="80" w:after="80"/>
        <w:jc w:val="left"/>
      </w:pPr>
      <w:r>
        <w:rPr>
          <w:rFonts w:ascii="Arial" w:cs="Arial" w:eastAsia="Arial" w:hAnsi="Arial"/>
          <w:b w:val="false"/>
          <w:bCs w:val="false"/>
          <w:i/>
          <w:iCs/>
          <w:color w:val="595959"/>
          <w:sz w:val="20"/>
          <w:szCs w:val="20"/>
        </w:rPr>
        <w:t xml:space="preserve">Analyst: Rohit Anand (rahit.anand@crisil.com) | Team Lead: Gayatri Madan | Date: 12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2026-03-03T14:39:56.441Z</dcterms:created>
  <dcterms:modified xsi:type="dcterms:W3CDTF">2026-03-03T14:39:56.441Z</dcterms:modified>
</cp:coreProperties>
</file>

<file path=docProps/custom.xml><?xml version="1.0" encoding="utf-8"?>
<Properties xmlns="http://schemas.openxmlformats.org/officeDocument/2006/custom-properties" xmlns:vt="http://schemas.openxmlformats.org/officeDocument/2006/docPropsVTypes"/>
</file>