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MINUTES OF BOARD OF DIRECTORS MEETING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PVR INOX LIMITED</w:t>
      </w:r>
    </w:p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CIN: L74899DL1995PLC067847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Meeting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October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 Basant Lok, New Delhi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BM-03/FY2024-25 (4th Board Meeting of FY2024-25)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10:30 AM — 2:45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Ajay Bijli (Chairman &amp; MD); Sanjeev Kumar (Joint MD); Renuka Ramnath (Independent Director); Vikram Bakshi (Independent Director); Shishir Baijal (Independent Director); Renuka Ramnath (Audit Committee Chair)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Secretary, Group General Counsel, Head of Finance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 — Quorum requirements met as per Companies Act 2013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Agenda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 of previous meeting minutes (26 July 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FY2025 Unaudited Financial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of ₹500 Cr Term Loan — New Screen Expansion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Merger Integration Progress Report — IT Systems &amp; Brand Rationalisation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of Underperforming Properties — Closure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on GST ITC Dispute (Delhi HC Petition)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FY2025 Occupancy and Revenue Budget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Other Business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PROCEEDINGS AND RESOLUTIONS</w:t>
      </w:r>
    </w:p>
    <w:p>
      <w:pPr>
        <w:spacing w:after="80"/>
      </w:pPr>
    </w:p>
    <w:p>
      <w:pPr>
        <w:pStyle w:val="Heading3"/>
      </w:pPr>
      <w:r>
        <w:t xml:space="preserve">Q2 FY2025 Financial Results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CFO Nitin Sood presented Q2 results. Revenue ₹1,420 Cr (vs ₹1,380 Cr in Q2 FY2024, +2.9%). The slower growth versus H1 was due to a weak Bollywood slate in August-September 2024. Occupancy in Q2 averaged 52% vs 58% in Q1. Box office collections were Rs 420 Cr for Q2 vs ₹500 Cr in Q1. EBITDA (cash, ex-Ind AS 116): ₹280 Cr.</w:t>
      </w:r>
    </w:p>
    <w:p>
      <w:pPr>
        <w:spacing w:after="80"/>
      </w:pPr>
    </w:p>
    <w:p>
      <w:pPr>
        <w:pStyle w:val="Heading3"/>
      </w:pPr>
      <w:r>
        <w:t xml:space="preserve">Term Loan Approval — New Screen Capex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Board reviewed the proposal to avail a ₹500 Cr term loan for 30 new screens (24 in Tier-2/3 cities; 6 in metro expansions). CFO presented a site-wise financial model. Average payback period: 4.8 years. Average occupancy assumption: 58% (conservative). Board discussed OTT risk at length.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Independent Director Ms. Renuka Ramnath raised concern: "Given structural OTT headwinds, we must ensure that new screens are in markets where streaming penetration is lower. Are we de-risking by focusing on Tier-2 cities?" CFO confirmed that all 30 proposed locations are in Tier-2/3 cities with broadband penetration below 35%.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Resolved: Board approved the term loan, subject to Audit Committee review of the debt covenants.</w:t>
      </w:r>
    </w:p>
    <w:p>
      <w:pPr>
        <w:spacing w:after="80"/>
      </w:pPr>
    </w:p>
    <w:p>
      <w:pPr>
        <w:pStyle w:val="Heading3"/>
      </w:pPr>
      <w:r>
        <w:t xml:space="preserve">Underperforming Properties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Management presented a review of 4 properties (Kochi, Ludhiana, Bhopal, Surat) with cumulative operating losses of ₹42 Cr in H1 FY2025. Management recommended closure of the Bhopal and Ludhiana properties. Board resolved to close the Ludhiana property (7 screens) by 31 December 2024. This will result in accelerated ROU asset de-recognition of ₹62 Cr and estimated closure costs of ₹18 Cr.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 FOR CREDIT ASSESSMENT: This is the first formal closure since the PVR-INOX merger and signals the integration is entering an asset-rationalisation phase. Net impact is positive (eliminates ₹38 Cr annual cash loss).</w:t>
      </w:r>
    </w:p>
    <w:p>
      <w:pPr>
        <w:spacing w:after="80"/>
      </w:pPr>
    </w:p>
    <w:p>
      <w:pPr>
        <w:pStyle w:val="Heading2"/>
      </w:pPr>
      <w:r>
        <w:t xml:space="preserve">CLOSURE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There being no other business, the Chairman thanked all the Directors for their valuable inputs and declared the meeting closed.</w:t>
      </w:r>
    </w:p>
    <w:p>
      <w:pPr>
        <w:spacing w:after="20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Confirmed and Signed as a true record of proceedings:</w:t>
      </w:r>
    </w:p>
    <w:p>
      <w:pPr>
        <w:spacing w:after="30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                    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Chairman                                                              Company Secretary</w:t>
      </w:r>
    </w:p>
    <w:p>
      <w:pPr>
        <w:spacing w:after="6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Date: 15 October 2024                                          Place: 61 Basant Lok, New Delhi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2026-03-08T06:43:14.732Z</dcterms:created>
  <dcterms:modified xsi:type="dcterms:W3CDTF">2026-03-08T06:43:14.732Z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