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LEGAL DISPUTES &amp; LITIGATION SEARCH REPORT</w:t>
      </w:r>
    </w:p>
    <w:p>
      <w:pPr>
        <w:pBdr>
          <w:bottom w:val="single" w:color="1F4E79" w:sz="6" w:space="1"/>
        </w:pBdr>
        <w:spacing w:after="100"/>
      </w:pPr>
    </w:p>
    <w:p>
      <w:pPr>
        <w:spacing w:after="80"/>
      </w:pP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Company: PVR INOX Limited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PAN: AABCP0596B | CIN: L74899DL1995PLC067847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Source: e-Courts Services Portal (ecourts.gov.in), NCLT Portal, Income Tax ITBA Portal, SEBI Orders Database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Search Date: 15 January 2025</w:t>
      </w:r>
    </w:p>
    <w:p>
      <w:pPr>
        <w:spacing w:after="120"/>
      </w:pPr>
    </w:p>
    <w:p>
      <w:pPr>
        <w:pBdr>
          <w:left w:val="thick" w:color="375623" w:sz="8"/>
        </w:pBdr>
        <w:shd w:fill="E2EFDA" w:val="clear"/>
        <w:spacing w:after="80"/>
        <w:ind w:left="20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Total identified litigation exposure: ₹332 Crores. Manageable relative to company's scale of operations.</w:t>
      </w:r>
    </w:p>
    <w:p>
      <w:pPr>
        <w:spacing w:after="120"/>
      </w:pPr>
    </w:p>
    <w:p>
      <w:pPr>
        <w:pStyle w:val="Heading2"/>
      </w:pPr>
      <w:r>
        <w:t xml:space="preserve">CASE-WISE LITIGATION DETAILS</w:t>
      </w:r>
    </w:p>
    <w:p>
      <w:pPr>
        <w:pStyle w:val="Heading3"/>
      </w:pPr>
      <w:r>
        <w:t xml:space="preserve">Case 1: PVR INOX Ltd vs Union of India — GST ITC on cinema construction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Court / Authority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Delhi High Court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Case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W.P.(C) 11432/2023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 of Matter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Tax/GST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Exposure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₹140 Crores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Petition admitted; GST Dept reply due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Provisioned in Accounts?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Settled / Resolved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Case 2: INOX Legacy — Distributor Revenue Share Dispute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Court / Authority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MSME/SAMADHAAN, Ministry of MSME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Case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ARB/2023/INOX/0045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 of Matter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Commercial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Exposure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₹180 Crores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Arbitrator appointed; next hearing Feb 2025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Provisioned in Accounts?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Settled / Resolved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Case 3: Consumer Forum — F&amp;B Pricing at Multiplexes (Class action, 6 states)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Court / Authority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National Consumer Disputes Redressal Commission, New Delhi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Case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CC/2023/NCR/814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 of Matter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Consumer Protection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Exposure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₹12 Crores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Notice issued to PVR INOX; reply filed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Provisioned in Accounts?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Settled / Resolved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LITIGATION RISK ASSESSMENT SUMMARY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Overall Litigation Risk: </w:t>
      </w:r>
      <w:r>
        <w:rPr>
          <w:rFonts w:ascii="Arial" w:cs="Arial" w:eastAsia="Arial" w:hAnsi="Arial"/>
          <w:b/>
          <w:bCs/>
          <w:color w:val="E07000"/>
          <w:sz w:val="22"/>
          <w:szCs w:val="22"/>
        </w:rPr>
        <w:t xml:space="preserve">LOW-MEDIUM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Litigation exposure is limited and within manageable parameters. The GST ITC dispute (₹140 Cr) is an industry-wide issue affecting all multiplex operators and the resolution via High Court writ is expected to be favourable given the legal merits. The legacy INOX distributor dispute (₹180 Cr) is at final hearing stage and is not expected to materially exceed provisioned amounts.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2026-03-08T06:43:14.977Z</dcterms:created>
  <dcterms:modified xsi:type="dcterms:W3CDTF">2026-03-08T06:43:14.977Z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