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FACTORY / SITE VISIT NOTES</w:t>
      </w:r>
    </w:p>
    <w:p>
      <w:pPr>
        <w:spacing w:after="120" w:before="60"/>
        <w:jc w:val="both"/>
      </w:pPr>
      <w:r>
        <w:rPr>
          <w:rFonts w:ascii="Arial" w:cs="Arial" w:eastAsia="Arial" w:hAnsi="Arial"/>
          <w:b/>
          <w:bCs/>
          <w:i w:val="false"/>
          <w:iCs w:val="false"/>
          <w:color w:val="C00000"/>
          <w:sz w:val="18"/>
          <w:szCs w:val="18"/>
        </w:rPr>
        <w:t xml:space="preserve">CONFIDENTIAL — Credit Due Diligence Document</w:t>
      </w:r>
    </w:p>
    <w:p>
      <w:pPr>
        <w:pBdr>
          <w:bottom w:val="single" w:color="1F4E79" w:sz="6" w:space="1"/>
        </w:pBdr>
        <w:spacing w:after="100"/>
      </w:pPr>
    </w:p>
    <w:p>
      <w:pPr>
        <w:spacing w:after="8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w:t>
            </w:r>
          </w:p>
        </w:tc>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Borrower Entity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PVR INOX Limited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Site Visited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Phoenix Palassio Lucknow + Elante Chandigarh + Pacific Delhi</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 of Visit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 September 2024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Credit Officers Present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Lead Credit Manager + Site Inspection Engineer (Tech Desk)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 from Company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Plant Head / Factory Manager</w:t>
            </w:r>
          </w:p>
        </w:tc>
      </w:tr>
    </w:tbl>
    <w:p>
      <w:pPr>
        <w:spacing w:after="160"/>
      </w:pPr>
    </w:p>
    <w:p>
      <w:pPr>
        <w:pStyle w:val="Heading2"/>
      </w:pPr>
      <w:r>
        <w:t xml:space="preserve">1. OPERATIONAL OBSERVATIONS</w:t>
      </w:r>
    </w:p>
    <w:p>
      <w:pPr>
        <w:spacing w:after="120" w:before="60"/>
        <w:jc w:val="both"/>
      </w:pPr>
      <w:r>
        <w:rPr>
          <w:rFonts w:ascii="Arial" w:cs="Arial" w:eastAsia="Arial" w:hAnsi="Arial"/>
          <w:b/>
          <w:bCs/>
          <w:i w:val="false"/>
          <w:iCs w:val="false"/>
          <w:color w:val="000000"/>
          <w:sz w:val="20"/>
          <w:szCs w:val="20"/>
        </w:rPr>
        <w:t xml:space="preserve">Properties Visited: Phoenix Palassio Lucknow + Elante Chandigarh + Pacific Delhi</w:t>
      </w:r>
    </w:p>
    <w:p>
      <w:pPr>
        <w:spacing w:after="120" w:before="60"/>
        <w:jc w:val="both"/>
      </w:pPr>
      <w:r>
        <w:rPr>
          <w:rFonts w:ascii="Arial" w:cs="Arial" w:eastAsia="Arial" w:hAnsi="Arial"/>
          <w:b w:val="false"/>
          <w:bCs w:val="false"/>
          <w:i w:val="false"/>
          <w:iCs w:val="false"/>
          <w:color w:val="000000"/>
          <w:sz w:val="20"/>
          <w:szCs w:val="20"/>
        </w:rPr>
        <w:t xml:space="preserve">12 screens across 3 properties inspected. Average weekend occupancy: 69.3%; Weekday: 37%. Blended occupancy during visit period: ~54%.</w:t>
      </w:r>
    </w:p>
    <w:p>
      <w:pPr>
        <w:pStyle w:val="Heading3"/>
      </w:pPr>
      <w:r>
        <w:t xml:space="preserve">F&amp;B Operations</w:t>
      </w:r>
    </w:p>
    <w:p>
      <w:pPr>
        <w:spacing w:after="120" w:before="60"/>
        <w:jc w:val="both"/>
      </w:pPr>
      <w:r>
        <w:rPr>
          <w:rFonts w:ascii="Arial" w:cs="Arial" w:eastAsia="Arial" w:hAnsi="Arial"/>
          <w:b w:val="false"/>
          <w:bCs w:val="false"/>
          <w:i w:val="false"/>
          <w:iCs w:val="false"/>
          <w:color w:val="000000"/>
          <w:sz w:val="20"/>
          <w:szCs w:val="20"/>
        </w:rPr>
        <w:t xml:space="preserve">Food &amp; Beverage counters at Lucknow: 3 of 8 at Lucknow (weekday). Counter queue lengths suggest underutilisation during weekday visit. Average spend per head observed at approximately ₹180 vs management guidance of ₹210.</w:t>
      </w:r>
    </w:p>
    <w:p>
      <w:pPr>
        <w:pBdr>
          <w:left w:val="thick" w:color="C00000" w:sz="8"/>
        </w:pBdr>
        <w:shd w:fill="FFF2CC" w:val="clear"/>
        <w:spacing w:after="120"/>
        <w:ind w:left="200"/>
      </w:pPr>
      <w:r>
        <w:rPr>
          <w:rFonts w:ascii="Arial" w:cs="Arial" w:eastAsia="Arial" w:hAnsi="Arial"/>
          <w:b/>
          <w:bCs/>
          <w:color w:val="C00000"/>
          <w:sz w:val="20"/>
          <w:szCs w:val="20"/>
        </w:rPr>
        <w:t xml:space="preserve">⚠ WARNING: SPH gap: Observed ₹180 vs management guidance ₹210. This ₹30 per head shortfall, across ~30 crore annual footfalls, represents ₹900 crore of revenue at risk if guidance assumptions are unrealistic. Reconcile against FY2024 actuals.</w:t>
      </w:r>
    </w:p>
    <w:p>
      <w:pPr>
        <w:pStyle w:val="Heading3"/>
      </w:pPr>
      <w:r>
        <w:t xml:space="preserve">Infrastructure Condition</w:t>
      </w:r>
    </w:p>
    <w:p>
      <w:pPr>
        <w:spacing w:after="120" w:before="60"/>
        <w:jc w:val="both"/>
      </w:pPr>
      <w:r>
        <w:rPr>
          <w:rFonts w:ascii="Arial" w:cs="Arial" w:eastAsia="Arial" w:hAnsi="Arial"/>
          <w:b w:val="false"/>
          <w:bCs w:val="false"/>
          <w:i w:val="false"/>
          <w:iCs w:val="false"/>
          <w:color w:val="000000"/>
          <w:sz w:val="20"/>
          <w:szCs w:val="20"/>
        </w:rPr>
        <w:t xml:space="preserve">No IMAX at Lucknow despite Large Format marketing. The marketing of the Lucknow property as "Large Format" without IMAX certification could expose the company to consumer forum complaints. Seat refurbishment pending in 3 screens at Elante Mall (estimated cost ₹1.2 Cr).</w:t>
      </w:r>
    </w:p>
    <w:p>
      <w:pPr>
        <w:spacing w:after="160"/>
      </w:pPr>
    </w:p>
    <w:p>
      <w:pPr>
        <w:pStyle w:val="Heading2"/>
      </w:pPr>
      <w:r>
        <w:t xml:space="preserve">2. OVERALL VISIT ASSESSMENT</w:t>
      </w:r>
    </w:p>
    <w:p>
      <w:pPr>
        <w:spacing w:after="120" w:before="60"/>
        <w:jc w:val="both"/>
      </w:pPr>
      <w:r>
        <w:rPr>
          <w:rFonts w:ascii="Arial" w:cs="Arial" w:eastAsia="Arial" w:hAnsi="Arial"/>
          <w:b w:val="false"/>
          <w:bCs w:val="false"/>
          <w:i w:val="false"/>
          <w:iCs w:val="false"/>
          <w:color w:val="000000"/>
          <w:sz w:val="20"/>
          <w:szCs w:val="20"/>
        </w:rPr>
        <w:t xml:space="preserve">Cinema properties are clean and operationally maintained. However, the weekday footfall observed was sparse. The F&amp;B revenue gap versus guidance is a key watch item. Infrastructure at Lucknow requires the IMAX marketing claim to be reviewed. Overall, the business is operational but faces structural headwinds.</w:t>
      </w:r>
    </w:p>
    <w:p>
      <w:pPr>
        <w:spacing w:after="120" w:before="60"/>
        <w:jc w:val="both"/>
      </w:pPr>
      <w:r>
        <w:rPr>
          <w:rFonts w:ascii="Arial" w:cs="Arial" w:eastAsia="Arial" w:hAnsi="Arial"/>
          <w:b/>
          <w:bCs/>
          <w:i w:val="false"/>
          <w:iCs w:val="false"/>
          <w:color w:val="000000"/>
          <w:sz w:val="20"/>
          <w:szCs w:val="20"/>
        </w:rPr>
        <w:t xml:space="preserve">Credit Officer Recommendation: Proceed, subject to detailed F&amp;B revenue due diligence and reconciliation of SPH gap. Recommend covenant: Monthly cash sweep if occupancy falls below 50% for two consecutive months.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2"/>
      <w:szCs w:val="22"/>
    </w:rPr>
  </w:style>
  <w:style w:type="paragraph" w:styleId="Heading3">
    <w:name w:val="Heading 3"/>
    <w:basedOn w:val="Normal"/>
    <w:next w:val="Normal"/>
    <w:qFormat/>
    <w:pPr>
      <w:spacing w:before="120" w:after="6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2026-03-08T06:43:14.994Z</dcterms:created>
  <dcterms:modified xsi:type="dcterms:W3CDTF">2026-03-08T06:43:14.994Z</dcterms:modified>
</cp:coreProperties>
</file>

<file path=docProps/custom.xml><?xml version="1.0" encoding="utf-8"?>
<Properties xmlns="http://schemas.openxmlformats.org/officeDocument/2006/custom-properties" xmlns:vt="http://schemas.openxmlformats.org/officeDocument/2006/docPropsVTypes"/>
</file>