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MANAGEMENT DUE DILIGENCE — INTERVIEW NOTES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CONFIDENTIAL — For Internal Credit Use Only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PVR INOX 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Interview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September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Attendees (Company)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Nitin Sood (CFO), Mr. Kamal Gianchandani (Business Development)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Attendees (Bank)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Credit Manager, Relationship Manager, Credit Analyst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In-person at Company Registered Office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KEY DISCUSSION POINTS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FY2024 occupancy:</w:t>
      </w:r>
      <w:r>
        <w:rPr>
          <w:rFonts w:ascii="Arial" w:cs="Arial" w:eastAsia="Arial" w:hAnsi="Arial"/>
          <w:sz w:val="20"/>
          <w:szCs w:val="20"/>
        </w:rPr>
        <w:t xml:space="preserve"> 58% overall (blended); management targets 62% in FY2025.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F&amp;B SPH:</w:t>
      </w:r>
      <w:r>
        <w:rPr>
          <w:rFonts w:ascii="Arial" w:cs="Arial" w:eastAsia="Arial" w:hAnsi="Arial"/>
          <w:sz w:val="20"/>
          <w:szCs w:val="20"/>
        </w:rPr>
        <w:t xml:space="preserve"> ₹189 in FY2024; management targets ₹220 in FY2025 via premium combos and Dine-In format expansion.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Merger synergies:</w:t>
      </w:r>
      <w:r>
        <w:rPr>
          <w:rFonts w:ascii="Arial" w:cs="Arial" w:eastAsia="Arial" w:hAnsi="Arial"/>
          <w:sz w:val="20"/>
          <w:szCs w:val="20"/>
        </w:rPr>
        <w:t xml:space="preserve"> ₹180 Cr realised in FY2024 (vendor consolidation ₹80 Cr, headcount ₹60 Cr, overhead ₹40 Cr).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Debt plan:</w:t>
      </w:r>
      <w:r>
        <w:rPr>
          <w:rFonts w:ascii="Arial" w:cs="Arial" w:eastAsia="Arial" w:hAnsi="Arial"/>
          <w:sz w:val="20"/>
          <w:szCs w:val="20"/>
        </w:rPr>
        <w:t xml:space="preserve"> ₹500 Cr reduction by end FY2025 from free cash flow. New capex loan of ₹500 Cr for 30 new screens.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OTT window:</w:t>
      </w:r>
      <w:r>
        <w:rPr>
          <w:rFonts w:ascii="Arial" w:cs="Arial" w:eastAsia="Arial" w:hAnsi="Arial"/>
          <w:sz w:val="20"/>
          <w:szCs w:val="20"/>
        </w:rPr>
        <w:t xml:space="preserve"> Management acknowledged 4-6 week average window (down from 8 weeks in 2019). Counter-strategy is premium formats.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Underperforming properties:</w:t>
      </w:r>
      <w:r>
        <w:rPr>
          <w:rFonts w:ascii="Arial" w:cs="Arial" w:eastAsia="Arial" w:hAnsi="Arial"/>
          <w:sz w:val="20"/>
          <w:szCs w:val="20"/>
        </w:rPr>
        <w:t xml:space="preserve"> 4 screens under strategic review. Closure could result in ₹280 Cr ROU asset writedown.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IT integration:</w:t>
      </w:r>
      <w:r>
        <w:rPr>
          <w:rFonts w:ascii="Arial" w:cs="Arial" w:eastAsia="Arial" w:hAnsi="Arial"/>
          <w:sz w:val="20"/>
          <w:szCs w:val="20"/>
        </w:rPr>
        <w:t xml:space="preserve"> Legacy INOX POS and ERP systems expected to be migrated to unified ViBe CRM by Q4 FY2025.</w:t>
      </w:r>
    </w:p>
    <w:p>
      <w:pPr>
        <w:spacing w:after="160"/>
      </w:pPr>
    </w:p>
    <w:p>
      <w:pPr>
        <w:pStyle w:val="Heading2"/>
      </w:pPr>
      <w:r>
        <w:t xml:space="preserve">CREDIT OFFICER OBSERVATIONS &amp; CONCERNS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Management's occupancy projection of 62% assumes a 'blockbuster-heavy' Bollywood slate. The F&amp;B SPH observed at ₹180 vs guided ₹210 suggests a meaningful gap in monetisation. No detailed plan presented for 4 properties under review.</w:t>
      </w:r>
    </w:p>
    <w:p>
      <w:pPr>
        <w:spacing w:after="160"/>
      </w:pPr>
    </w:p>
    <w:p>
      <w:pPr>
        <w:pStyle w:val="Heading2"/>
      </w:pPr>
      <w:r>
        <w:t xml:space="preserve">MANAGEMENT QUALITY ASSESSMENT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(1-5)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 OTT counter-strategy via premium formats; Tier-2 expansion rational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Acumen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CFO well-versed in Ind AS 116 nuances; candid about revenue gaps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Acknowledged underperforming properties proactively; no evasion observed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Track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Merger integration ahead of guidance on synergies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Succession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Dual-founder structure post-merger creates governance complexity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PRELIMINARY CREDIT RECOMMENDATION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APPROVE with standard covenants. Recommend sanction of ₹500 Cr term loan as requested at CRISIL A- equivalent pricing (MCLR + 80 bps). DSCR covenant at &gt;1.15x, occupancy early warning covenant at 50% (trigger for additional review). Security: first charge on identified multiplex properties (15 properties, collateral value ₹1,200 Cr on conservative basis).</w:t>
      </w:r>
    </w:p>
    <w:p>
      <w:pPr>
        <w:spacing w:after="20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          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 Credit Manager                               Date: 21 September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2026-03-08T06:43:15.008Z</dcterms:created>
  <dcterms:modified xsi:type="dcterms:W3CDTF">2026-03-08T06:43:15.008Z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