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LEGAL DISPUTES &amp; LITIGATION SEARCH REPORT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Company: Varun Beverages Limited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PAN: AAACV4408J | CIN: L15549UP1995PLC025767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Source: e-Courts Services Portal (ecourts.gov.in), NCLT Portal, Income Tax ITBA Portal, SEBI Orders Database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Search Date: 15 January 2025</w:t>
      </w:r>
    </w:p>
    <w:p>
      <w:pPr>
        <w:spacing w:after="120"/>
      </w:pPr>
    </w:p>
    <w:p>
      <w:pPr>
        <w:pBdr>
          <w:left w:val="thick" w:color="375623" w:sz="8"/>
        </w:pBdr>
        <w:shd w:fill="E2EFDA" w:val="clear"/>
        <w:spacing w:after="80"/>
        <w:ind w:lef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Total identified litigation exposure: ₹53 Crores. Manageable relative to company's scale of operations.</w:t>
      </w:r>
    </w:p>
    <w:p>
      <w:pPr>
        <w:spacing w:after="120"/>
      </w:pPr>
    </w:p>
    <w:p>
      <w:pPr>
        <w:pStyle w:val="Heading2"/>
      </w:pPr>
      <w:r>
        <w:t xml:space="preserve">CASE-WISE LITIGATION DETAILS</w:t>
      </w:r>
    </w:p>
    <w:p>
      <w:pPr>
        <w:pStyle w:val="Heading3"/>
      </w:pPr>
      <w:r>
        <w:t xml:space="preserve">Case 1: PepsiCo India vs VBL — Rajasthan territory exclusivity boundary dispute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Pre-litigation (Internal Arbitration)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VBL-ARB-2024-001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Franchise/Commercial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₹45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arbitration initiated — resolution expected in 3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/ Resolved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2: UPPCB vs VBL Mathura Plant — Effluent Discharge Show Cause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Uttar Pradesh Pollution Control Board, Lucknow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UPPCB/ENF/2024/M-089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Penalty of ₹8 Cr deposited; compliance certificate obtained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/ Resolved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LITIGATION RISK ASSESSMENT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Litigation Risk: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LOW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Litigation exposure is de minimis relative to the company's scale. The PepsiCo territory dispute is in pre-litigation and is expected to be resolved through commercial negotiation. The UPPCB penalty has been paid and the compliance certificate obtained. No material litigation risk identified.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2026-03-08T06:43:15.251Z</dcterms:created>
  <dcterms:modified xsi:type="dcterms:W3CDTF">2026-03-08T06:43:15.251Z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