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FACTORY / SITE VISIT NOTES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CONFIDENTIAL — Credit Due Diligence Document</w:t>
      </w:r>
    </w:p>
    <w:p>
      <w:pPr>
        <w:pBdr>
          <w:bottom w:val="single" w:color="1F4E79" w:sz="6" w:space="1"/>
        </w:pBdr>
        <w:spacing w:after="100"/>
      </w:pPr>
    </w:p>
    <w:p>
      <w:pPr>
        <w:spacing w:after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Borrower 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Varun Beverages Limited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 Visited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VBL Bhiwadi Plant, Rajasthan (Plant Code: VBL-BHI-01)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Visit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 November 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Officers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Credit Manager + Site Inspection Engineer (Tech Desk)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 from 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 Head / Factory Manager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 OPERATIONAL OBSERVATIONS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Capacity Utilisation (November visit, off-season): 85% of installed capacity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Plant Code: Plant Code: VBL-BHI-01. 1,850 workers observed. 8 filling lines total; 4 running at visit time (November off-season is expected — Q1/Q2 sees 95%+ utilisation with overtime shifts).</w:t>
      </w:r>
    </w:p>
    <w:p>
      <w:pPr>
        <w:pStyle w:val="Heading3"/>
      </w:pPr>
      <w:r>
        <w:t xml:space="preserve">Raw Material Inventory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PET preforms: 18 days | Sugar: 22 days | PepsiCo concentrate: 35 days. All within normal operating parameters. No stockout risk identified.</w:t>
      </w:r>
    </w:p>
    <w:p>
      <w:pPr>
        <w:pStyle w:val="Heading3"/>
      </w:pPr>
      <w:r>
        <w:t xml:space="preserve">New Line Commissioning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Line 7 (600 BPM) — commissioned October 2024 commissioned. Line 7 was running at full speed during visit. Line commissioning process and quality validation appeared systematic.</w:t>
      </w:r>
    </w:p>
    <w:p>
      <w:pPr>
        <w:pStyle w:val="Heading3"/>
      </w:pPr>
      <w:r>
        <w:t xml:space="preserve">Bihar Plant Status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Bihar Greenfield — Land acquired (42 acres, Muzaffarpur). Civil work at foundation stage. Equipment (KHS GmbH) ordered.</w:t>
      </w:r>
    </w:p>
    <w:p>
      <w:pPr>
        <w:pStyle w:val="Heading3"/>
      </w:pPr>
      <w:r>
        <w:t xml:space="preserve">Quality Systems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ISO 22000:2018; FSSAI Schedule 4 compliant; no customer rejection notices in H2 FY2024</w:t>
      </w:r>
    </w:p>
    <w:p>
      <w:pPr>
        <w:pStyle w:val="Heading3"/>
      </w:pPr>
      <w:r>
        <w:t xml:space="preserve">Key Risk — PepsiCo Franchise Dependency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sole dependence on the PepsiCo franchise is a structural risk. No diversification of principal brand observed. All production is PepsiCo concentrate-based. However, this is characteristic of all franchise bottlers globally and should be viewed in the context of the historical franchise relationship strength.</w:t>
      </w:r>
    </w:p>
    <w:p>
      <w:pPr>
        <w:spacing w:after="160"/>
      </w:pPr>
    </w:p>
    <w:p>
      <w:pPr>
        <w:pStyle w:val="Heading2"/>
      </w:pPr>
      <w:r>
        <w:t xml:space="preserve">2. OVERALL VISIT ASSESSMENT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Plant visit was highly satisfactory. Operations are efficient, quality systems robust, and raw material inventory adequate. The Bihar greenfield progress is in line with management's milestones. The seasonal shutdown of 4 lines during off-season visit is normal and expected. No adverse observations.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Credit Officer Recommendation: Proceed. No adverse observations. Standard covenants on DSCR (&gt;1.20x), Debt/EBITDA (&lt;3.0x), and PepsiCo franchise renewal notification obligation.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2026-03-08T06:43:15.265Z</dcterms:created>
  <dcterms:modified xsi:type="dcterms:W3CDTF">2026-03-08T06:43:15.265Z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