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MANAGEMENT DUE DILIGENCE — INTERVIEW NOTES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CONFIDENTIAL — For Internal Credit Use Only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Beverages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Interview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 November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(Company)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Mr. Raj Shankar Das (CFO), Mr. Anil Jain (VP Projects), Ms. Swati Ahuja (Head — Legal &amp; Compliance)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Attendees (Bank)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Credit Manager, Relationship Manager, Credit Analyst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In-person at Company Registered Office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DISCUSSION POINTS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Bihar plant:</w:t>
      </w:r>
      <w:r>
        <w:rPr>
          <w:rFonts w:ascii="Arial" w:cs="Arial" w:eastAsia="Arial" w:hAnsi="Arial"/>
          <w:sz w:val="20"/>
          <w:szCs w:val="20"/>
        </w:rPr>
        <w:t xml:space="preserve"> ₹1,800 Cr total project cost. ₹300 Cr own funds deployed. Requesting ₹1,500 Cr term loan. COD Oct 2026.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IRR analysis:</w:t>
      </w:r>
      <w:r>
        <w:rPr>
          <w:rFonts w:ascii="Arial" w:cs="Arial" w:eastAsia="Arial" w:hAnsi="Arial"/>
          <w:sz w:val="20"/>
          <w:szCs w:val="20"/>
        </w:rPr>
        <w:t xml:space="preserve"> 18.5% projected at 80% utilisation in Year 3. Sensitivity analysis showed 14.2% IRR even at 65% utilisation.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PepsiCo franchise:</w:t>
      </w:r>
      <w:r>
        <w:rPr>
          <w:rFonts w:ascii="Arial" w:cs="Arial" w:eastAsia="Arial" w:hAnsi="Arial"/>
          <w:sz w:val="20"/>
          <w:szCs w:val="20"/>
        </w:rPr>
        <w:t xml:space="preserve"> Next renewal December 2027. Management confident based on VBL's consistent volume growth track record. PepsiCo has expanded VBL's territory by 7 states since 2021.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Debt position:</w:t>
      </w:r>
      <w:r>
        <w:rPr>
          <w:rFonts w:ascii="Arial" w:cs="Arial" w:eastAsia="Arial" w:hAnsi="Arial"/>
          <w:sz w:val="20"/>
          <w:szCs w:val="20"/>
        </w:rPr>
        <w:t xml:space="preserve"> Post-Bihar loan, peak Debt/EBITDA ~2.4x in FY2026, expected to moderate to 1.8x in FY2027.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Africa operations:</w:t>
      </w:r>
      <w:r>
        <w:rPr>
          <w:rFonts w:ascii="Arial" w:cs="Arial" w:eastAsia="Arial" w:hAnsi="Arial"/>
          <w:sz w:val="20"/>
          <w:szCs w:val="20"/>
        </w:rPr>
        <w:t xml:space="preserve"> Zambia PAT ₹280 Cr in FY2024; Zimbabwe growing 12% YoY. Ethiopia and Mozambique approvals received from PepsiCo — entry FY2026.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Energy drink (Sting):</w:t>
      </w:r>
      <w:r>
        <w:rPr>
          <w:rFonts w:ascii="Arial" w:cs="Arial" w:eastAsia="Arial" w:hAnsi="Arial"/>
          <w:sz w:val="20"/>
          <w:szCs w:val="20"/>
        </w:rPr>
        <w:t xml:space="preserve"> Volume +48% YoY in FY2024. Now India's #2 energy drink by volume. Exploring 500ml can format.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Raw material strategy:</w:t>
      </w:r>
      <w:r>
        <w:rPr>
          <w:rFonts w:ascii="Arial" w:cs="Arial" w:eastAsia="Arial" w:hAnsi="Arial"/>
          <w:sz w:val="20"/>
          <w:szCs w:val="20"/>
        </w:rPr>
        <w:t xml:space="preserve"> Forward contracts on PET resin for 6 months; sugar hedged at current prices for Q1 FY2025.</w:t>
      </w:r>
    </w:p>
    <w:p>
      <w:pPr>
        <w:spacing w:after="160"/>
      </w:pPr>
    </w:p>
    <w:p>
      <w:pPr>
        <w:pStyle w:val="Heading2"/>
      </w:pPr>
      <w:r>
        <w:t xml:space="preserve">CREDIT OFFICER OBSERVATIONS &amp; CONCERNS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No material concerns identified. Franchise renewal risk is structural but management provided credible evidence of relationship health. Bihar plant execution risk is a watch item — German equipment lead times critical.</w:t>
      </w:r>
    </w:p>
    <w:p>
      <w:pPr>
        <w:spacing w:after="160"/>
      </w:pPr>
    </w:p>
    <w:p>
      <w:pPr>
        <w:pStyle w:val="Heading2"/>
      </w:pPr>
      <w:r>
        <w:t xml:space="preserve">MANAGEMENT QUALITY ASSESSMENT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(1-5)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Strategic 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roadmap — volume growth + premium portfolio + international expansion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Acumen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 presented detailed IRR sensitivity analysis proactively; no prompting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questions answered directly; PepsiCo approval letter tabled voluntarily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Track Record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greenfield plants commissioned on time and within budget in last 5 years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Succession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Varun Jaipuria emerging as next-gen leader; family-controlled but professional management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PRELIMINARY CREDIT RECOMMENDATION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APPROVE. Recommend sanction of ₹1,500 Cr term loan as requested. Tenor 7 years with 2-year moratorium on principal. Pricing: MCLR + 40 bps (reflecting CRISIL AA-). DSCR covenant: &gt;1.20x. PepsiCo franchise renewal to be notified to bank minimum 6 months in advance. Security: first pari-passu charge on all fixed assets of Bihar plant + collateral support from existing charge over Bhiwadi plant. No personal guarantee required given promoter track record and zero pledge.</w:t>
      </w:r>
    </w:p>
    <w:p>
      <w:pPr>
        <w:spacing w:after="20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          _______________________________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 Credit Manager                               Date: 06 November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2026-03-08T06:43:15.275Z</dcterms:created>
  <dcterms:modified xsi:type="dcterms:W3CDTF">2026-03-08T06:43:15.275Z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