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MINUTES OF BOARD OF DIRECTORS MEETING</w:t>
      </w:r>
    </w:p>
    <w:p>
      <w:pPr>
        <w:pBdr>
          <w:bottom w:val="single" w:color="1F4E79" w:sz="6" w:space="1"/>
        </w:pBdr>
        <w:spacing w:after="100"/>
      </w:pPr>
    </w:p>
    <w:p>
      <w:pPr>
        <w:spacing w:after="80"/>
      </w:pPr>
    </w:p>
    <w:p>
      <w:pPr>
        <w:spacing w:after="120" w:before="60"/>
        <w:jc w:val="center"/>
      </w:pPr>
      <w:r>
        <w:rPr>
          <w:rFonts w:ascii="Arial" w:cs="Arial" w:eastAsia="Arial" w:hAnsi="Arial"/>
          <w:b/>
          <w:bCs/>
          <w:i w:val="false"/>
          <w:iCs w:val="false"/>
          <w:color w:val="000000"/>
          <w:sz w:val="24"/>
          <w:szCs w:val="24"/>
        </w:rPr>
        <w:t xml:space="preserve">VEDANTA LIMITED</w:t>
      </w:r>
    </w:p>
    <w:p>
      <w:pPr>
        <w:spacing w:after="120" w:before="60"/>
        <w:jc w:val="center"/>
      </w:pPr>
      <w:r>
        <w:rPr>
          <w:rFonts w:ascii="Arial" w:cs="Arial" w:eastAsia="Arial" w:hAnsi="Arial"/>
          <w:b w:val="false"/>
          <w:bCs w:val="false"/>
          <w:i w:val="false"/>
          <w:iCs w:val="false"/>
          <w:color w:val="000000"/>
          <w:sz w:val="18"/>
          <w:szCs w:val="18"/>
        </w:rPr>
        <w:t xml:space="preserve">CIN: L13209MH1965PLC291394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Meeting 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 October 2024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Meeting Venue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Vedanta House, Mumbai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Meeting 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BM-04/FY2024-25 (4th Board Meeting of FY2024-25)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10:30 AM — 2:45 PM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Directors Present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Anil Agarwal (Executive Chairman); Srinivasan Venkatakrishnan (MD &amp; CEO); Priya Agarwal Hebbar (Non-Executive Director); Aman Mehta (Independent Director); Lalita Gupte (Independent Director); GR Arun Kumar (Non-Executive Director, CFO)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Invitees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Company Secretary, Group General Counsel, Head of Finance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Quorum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Present — Quorum requirements met as per Companies Act 2013</w:t>
            </w:r>
          </w:p>
        </w:tc>
      </w:tr>
    </w:tbl>
    <w:p>
      <w:pPr>
        <w:spacing w:after="200"/>
      </w:pPr>
    </w:p>
    <w:p>
      <w:pPr>
        <w:pStyle w:val="Heading2"/>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8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Agenda Item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Confirmation of previous meeting minutes (25 July 2024)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Review of Q2 FY2025 Unaudited Financial Results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on Demerger — NCLT Petition 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on Refinancing of FY2025 Bond Maturities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on Sterlite Copper Litigation — Supreme Court Hearing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Appointment of Banker for Proposed ECB Issuance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Approval of Related Party Transactions — Q3 FY2025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Any Other Business with Permission of Chair</w:t>
            </w:r>
          </w:p>
        </w:tc>
      </w:tr>
    </w:tbl>
    <w:p>
      <w:pPr>
        <w:spacing w:after="200"/>
      </w:pPr>
    </w:p>
    <w:p>
      <w:pPr>
        <w:pStyle w:val="Heading2"/>
      </w:pPr>
      <w:r>
        <w:t xml:space="preserve">PROCEEDINGS AND RESOLUTIONS</w:t>
      </w:r>
    </w:p>
    <w:p>
      <w:pPr>
        <w:spacing w:after="80"/>
      </w:pPr>
    </w:p>
    <w:p>
      <w:pPr>
        <w:pStyle w:val="Heading3"/>
      </w:pPr>
      <w:r>
        <w:t xml:space="preserve">Q2 FY2025 Financial Results</w:t>
      </w:r>
    </w:p>
    <w:p>
      <w:pPr>
        <w:spacing w:after="120" w:before="60"/>
        <w:jc w:val="both"/>
      </w:pPr>
      <w:r>
        <w:rPr>
          <w:rFonts w:ascii="Arial" w:cs="Arial" w:eastAsia="Arial" w:hAnsi="Arial"/>
          <w:b w:val="false"/>
          <w:bCs w:val="false"/>
          <w:i w:val="false"/>
          <w:iCs w:val="false"/>
          <w:color w:val="000000"/>
          <w:sz w:val="20"/>
          <w:szCs w:val="20"/>
        </w:rPr>
        <w:t xml:space="preserve">The CFO presented Q2 FY2025 standalone results. Revenue ₹7,820 Cr (H1 FY2025: ₹15,600 Cr). EBITDA ₹2,050 Cr (margin 26.2%). Net loss of ₹(185) Cr at PAT level due to elevated finance costs and one-time VRL-level restructuring charge passed through.</w:t>
      </w:r>
    </w:p>
    <w:p>
      <w:pPr>
        <w:spacing w:after="120" w:before="60"/>
        <w:jc w:val="both"/>
      </w:pPr>
      <w:r>
        <w:rPr>
          <w:rFonts w:ascii="Arial" w:cs="Arial" w:eastAsia="Arial" w:hAnsi="Arial"/>
          <w:b w:val="false"/>
          <w:bCs w:val="false"/>
          <w:i w:val="false"/>
          <w:iCs w:val="false"/>
          <w:color w:val="000000"/>
          <w:sz w:val="20"/>
          <w:szCs w:val="20"/>
        </w:rPr>
        <w:t xml:space="preserve">The Audit Committee Chair noted the auditor's emphasis of matter paragraph in the limited review report regarding the going concern assessment of VRL, the UK parent. The Board discussed this at length. Management reiterated that VedL's operations are independent and cash flows are ring-fenced.</w:t>
      </w:r>
    </w:p>
    <w:p>
      <w:pPr>
        <w:spacing w:after="80"/>
      </w:pPr>
    </w:p>
    <w:p>
      <w:pPr>
        <w:pStyle w:val="Heading3"/>
      </w:pPr>
      <w:r>
        <w:t xml:space="preserve">Demerger Update</w:t>
      </w:r>
    </w:p>
    <w:p>
      <w:pPr>
        <w:spacing w:after="120" w:before="60"/>
        <w:jc w:val="both"/>
      </w:pPr>
      <w:r>
        <w:rPr>
          <w:rFonts w:ascii="Arial" w:cs="Arial" w:eastAsia="Arial" w:hAnsi="Arial"/>
          <w:b w:val="false"/>
          <w:bCs w:val="false"/>
          <w:i w:val="false"/>
          <w:iCs w:val="false"/>
          <w:color w:val="000000"/>
          <w:sz w:val="20"/>
          <w:szCs w:val="20"/>
        </w:rPr>
        <w:t xml:space="preserve">Company Secretary Mr. P.K. Mittal presented the NCLT petition status. First hearing held on 14 October 2024. NCLT has directed that a meeting of shareholders and creditors be convened. The Board noted that the demerger, once effective, will result in 5 separately listed entities. The expected effective date is Q2 FY2026, subject to regulatory clearances.</w:t>
      </w:r>
    </w:p>
    <w:p>
      <w:pPr>
        <w:spacing w:after="80"/>
      </w:pPr>
    </w:p>
    <w:p>
      <w:pPr>
        <w:pStyle w:val="Heading3"/>
      </w:pPr>
      <w:r>
        <w:t xml:space="preserve">Refinancing of FY2025 Maturities</w:t>
      </w:r>
    </w:p>
    <w:p>
      <w:pPr>
        <w:spacing w:after="120" w:before="60"/>
        <w:jc w:val="both"/>
      </w:pPr>
      <w:r>
        <w:rPr>
          <w:rFonts w:ascii="Arial" w:cs="Arial" w:eastAsia="Arial" w:hAnsi="Arial"/>
          <w:b w:val="false"/>
          <w:bCs w:val="false"/>
          <w:i w:val="false"/>
          <w:iCs w:val="false"/>
          <w:color w:val="000000"/>
          <w:sz w:val="20"/>
          <w:szCs w:val="20"/>
        </w:rPr>
        <w:t xml:space="preserve">CFO informed that ₹8,500 Cr of bonds and term loans mature in H2 FY2025. The company has mandated SBI Capital Markets and Barclays for a dual-currency refinancing: ₹4,000 Cr domestic NCD issuance and USD 550 million ECB. Documentation is underway. The Independent Directors sought confirmation that the refinancing covenants do not create additional encumbrances on material assets. CFO confirmed this.</w:t>
      </w:r>
    </w:p>
    <w:p>
      <w:pPr>
        <w:spacing w:after="120" w:before="60"/>
        <w:jc w:val="both"/>
      </w:pPr>
      <w:r>
        <w:rPr>
          <w:rFonts w:ascii="Arial" w:cs="Arial" w:eastAsia="Arial" w:hAnsi="Arial"/>
          <w:b w:val="false"/>
          <w:bCs w:val="false"/>
          <w:i w:val="false"/>
          <w:iCs w:val="false"/>
          <w:color w:val="000000"/>
          <w:sz w:val="20"/>
          <w:szCs w:val="20"/>
        </w:rPr>
        <w:t xml:space="preserve">ANALYST NOTE FOR CREDIT: Board did not disclose any shortfall in committed financing. However, the 4-month window to complete ₹8,500 Cr refinancing is tight given market conditions.</w:t>
      </w:r>
    </w:p>
    <w:p>
      <w:pPr>
        <w:spacing w:after="80"/>
      </w:pPr>
    </w:p>
    <w:p>
      <w:pPr>
        <w:pStyle w:val="Heading3"/>
      </w:pPr>
      <w:r>
        <w:t xml:space="preserve">Sterlite Copper Litigation</w:t>
      </w:r>
    </w:p>
    <w:p>
      <w:pPr>
        <w:spacing w:after="120" w:before="60"/>
        <w:jc w:val="both"/>
      </w:pPr>
      <w:r>
        <w:rPr>
          <w:rFonts w:ascii="Arial" w:cs="Arial" w:eastAsia="Arial" w:hAnsi="Arial"/>
          <w:b w:val="false"/>
          <w:bCs w:val="false"/>
          <w:i w:val="false"/>
          <w:iCs w:val="false"/>
          <w:color w:val="000000"/>
          <w:sz w:val="20"/>
          <w:szCs w:val="20"/>
        </w:rPr>
        <w:t xml:space="preserve">Legal team represented by Group General Counsel. Supreme Court hearing on SLP(C) No. 14812/2019 adjourned to January 2025. State of Tamil Nadu has filed a counter-affidavit opposing the restart. The Board resolved NOT to make any public statement on the restart timeline pending judicial directions.</w:t>
      </w:r>
    </w:p>
    <w:p>
      <w:pPr>
        <w:spacing w:after="80"/>
      </w:pPr>
    </w:p>
    <w:p>
      <w:pPr>
        <w:pStyle w:val="Heading2"/>
      </w:pPr>
      <w:r>
        <w:t xml:space="preserve">CLOSURE</w:t>
      </w:r>
    </w:p>
    <w:p>
      <w:pPr>
        <w:spacing w:after="120" w:before="60"/>
        <w:jc w:val="both"/>
      </w:pPr>
      <w:r>
        <w:rPr>
          <w:rFonts w:ascii="Arial" w:cs="Arial" w:eastAsia="Arial" w:hAnsi="Arial"/>
          <w:b w:val="false"/>
          <w:bCs w:val="false"/>
          <w:i w:val="false"/>
          <w:iCs w:val="false"/>
          <w:color w:val="000000"/>
          <w:sz w:val="20"/>
          <w:szCs w:val="20"/>
        </w:rPr>
        <w:t xml:space="preserve">There being no other business, the Chairman thanked all the Directors for their valuable inputs and declared the meeting closed.</w:t>
      </w:r>
    </w:p>
    <w:p>
      <w:pPr>
        <w:spacing w:after="200"/>
      </w:pPr>
    </w:p>
    <w:p>
      <w:pPr>
        <w:spacing w:after="120" w:before="60"/>
        <w:jc w:val="both"/>
      </w:pPr>
      <w:r>
        <w:rPr>
          <w:rFonts w:ascii="Arial" w:cs="Arial" w:eastAsia="Arial" w:hAnsi="Arial"/>
          <w:b/>
          <w:bCs/>
          <w:i w:val="false"/>
          <w:iCs w:val="false"/>
          <w:color w:val="000000"/>
          <w:sz w:val="20"/>
          <w:szCs w:val="20"/>
        </w:rPr>
        <w:t xml:space="preserve">Confirmed and Signed as a true record of proceedings:</w:t>
      </w:r>
    </w:p>
    <w:p>
      <w:pPr>
        <w:spacing w:after="300"/>
      </w:pPr>
    </w:p>
    <w:p>
      <w:pPr>
        <w:spacing w:after="120" w:before="60"/>
        <w:jc w:val="both"/>
      </w:pPr>
      <w:r>
        <w:rPr>
          <w:rFonts w:ascii="Arial" w:cs="Arial" w:eastAsia="Arial" w:hAnsi="Arial"/>
          <w:b w:val="false"/>
          <w:bCs w:val="false"/>
          <w:i w:val="false"/>
          <w:iCs w:val="false"/>
          <w:color w:val="000000"/>
          <w:sz w:val="20"/>
          <w:szCs w:val="20"/>
        </w:rPr>
        <w:t xml:space="preserve">_______________________________                    _______________________________</w:t>
      </w:r>
    </w:p>
    <w:p>
      <w:pPr>
        <w:spacing w:after="120" w:before="60"/>
        <w:jc w:val="both"/>
      </w:pPr>
      <w:r>
        <w:rPr>
          <w:rFonts w:ascii="Arial" w:cs="Arial" w:eastAsia="Arial" w:hAnsi="Arial"/>
          <w:b w:val="false"/>
          <w:bCs w:val="false"/>
          <w:i w:val="false"/>
          <w:iCs w:val="false"/>
          <w:color w:val="000000"/>
          <w:sz w:val="20"/>
          <w:szCs w:val="20"/>
        </w:rPr>
        <w:t xml:space="preserve">Chairman                                                              Company Secretary</w:t>
      </w:r>
    </w:p>
    <w:p>
      <w:pPr>
        <w:spacing w:after="60"/>
      </w:pPr>
    </w:p>
    <w:p>
      <w:pPr>
        <w:spacing w:after="120" w:before="60"/>
        <w:jc w:val="both"/>
      </w:pPr>
      <w:r>
        <w:rPr>
          <w:rFonts w:ascii="Arial" w:cs="Arial" w:eastAsia="Arial" w:hAnsi="Arial"/>
          <w:b w:val="false"/>
          <w:bCs w:val="false"/>
          <w:i w:val="false"/>
          <w:iCs w:val="false"/>
          <w:color w:val="000000"/>
          <w:sz w:val="20"/>
          <w:szCs w:val="20"/>
        </w:rPr>
        <w:t xml:space="preserve">Date: 25 October 2024                                          Place: Vedanta House, Mumbai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2"/>
      <w:szCs w:val="22"/>
    </w:rPr>
  </w:style>
  <w:style w:type="paragraph" w:styleId="Heading3">
    <w:name w:val="Heading 3"/>
    <w:basedOn w:val="Normal"/>
    <w:next w:val="Normal"/>
    <w:qFormat/>
    <w:pPr>
      <w:spacing w:before="120" w:after="6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2026-03-08T06:43:14.191Z</dcterms:created>
  <dcterms:modified xsi:type="dcterms:W3CDTF">2026-03-08T06:43:14.193Z</dcterms:modified>
</cp:coreProperties>
</file>

<file path=docProps/custom.xml><?xml version="1.0" encoding="utf-8"?>
<Properties xmlns="http://schemas.openxmlformats.org/officeDocument/2006/custom-properties" xmlns:vt="http://schemas.openxmlformats.org/officeDocument/2006/docPropsVTypes"/>
</file>