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MCA / ROC FILINGS SUMMARY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Company: Vedanta Limited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CIN: L13209MH1965PLC291394 | PAN: AACFL0054P | GSTIN: 24AACFL0054P1ZM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Compiled from: MCA21 Portal (www.mca.gov.in) | Date of Search: 10 January 2025</w:t>
      </w:r>
    </w:p>
    <w:p>
      <w:pPr>
        <w:spacing w:after="120"/>
      </w:pPr>
    </w:p>
    <w:p>
      <w:pPr>
        <w:pStyle w:val="Heading2"/>
      </w:pPr>
      <w:r>
        <w:t xml:space="preserve">1. REGISTERED CHARGES (Active)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Total Active Charged Amount: ₹42,500 Crores across 5 charges</w:t>
      </w:r>
    </w:p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1200"/>
        <w:gridCol w:w="230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 Holder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(₹Cr)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of Charge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15-Apr-2021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Bank of India (Consortium Lead)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pari-passu charge on all fixed assets (present and future) including Lanjigarh refinery and Jharsuguda smelter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10023456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20-Jul-2022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HDFC Bank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pari-passu charge on book debts, receivables, and inventories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10034567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10-Mar-2023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Chartered 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Exclusive charge on Rajasthan iron ore mining rights (Rampura Agucha security)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10045678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01-Jun-2020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Bank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capital — first charge on current assets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10056789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14-Sep-2019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 Insurance Corporation of India (NCD)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Secured NCD — first pari-passu charge on fixed assets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10067890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22-Jan-2018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Kotak Mahindra 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 loan — charge on specific plant and machinery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SATISFIED — 15-Jan-2024</w:t>
            </w:r>
          </w:p>
        </w:tc>
      </w:tr>
    </w:tbl>
    <w:p>
      <w:pPr>
        <w:spacing w:after="120"/>
      </w:pPr>
    </w:p>
    <w:p>
      <w:pPr>
        <w:pBdr>
          <w:left w:val="thick" w:color="C00000" w:sz="8"/>
        </w:pBdr>
        <w:shd w:fill="FFF2CC" w:val="clear"/>
        <w:spacing w:after="120"/>
        <w:ind w:lef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WARNING: Total active charge value (₹42,700 Cr) approaches 66% of total assets (₹64,625 Cr). Company has limited unencumbered assets. New lenders will get sub-pari-passu security.</w:t>
      </w:r>
    </w:p>
    <w:p>
      <w:pPr>
        <w:spacing w:after="120"/>
      </w:pPr>
    </w:p>
    <w:p>
      <w:pPr>
        <w:pStyle w:val="Heading2"/>
      </w:pPr>
      <w:r>
        <w:t xml:space="preserve">2. RECENT ROC FILINGS (Last 24 Months)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5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AOC-4 XBRL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30-Oct-2024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Financial Statements FY2023-24 (Ind 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MGT-7A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30-Nov-2024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Return FY2023-24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CHG-1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15-Apr-2021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Creation of Charge — SBI Consortium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01-Aug-2024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Cessation of Independent Director Mr. K. Venkataramanan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05-Sep-2024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 of CEO — Mr. Ajay Kapur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MGT-14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28-Oct-2024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resolutions — Approval of Q2 results, ECB mandate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NCLT Petition (CP/2024/NCLT/Mum)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01-Oct-2024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Scheme Petition — Demerger into 5 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000"/>
                <w:sz w:val="18"/>
                <w:szCs w:val="18"/>
              </w:rPr>
              <w:t xml:space="preserve">Pending NCLT approval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DIRECTOR &amp; KMP INFORMATION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Below is a summary of current Directors and Key Managerial Personnel on record with MCA21: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of Appointment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Anil Agarwal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00010883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Chairman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01-Apr-1988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Srinivasan Venkatakrishnan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08901113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 &amp; 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01-Mar-2021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 Agarwal Hebbar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05154314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Non-Executive Director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10-Jan-2020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Aman Mehta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00009364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Director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20-Sep-2014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K. Venkataramanan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00291754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Director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12-Jul-2019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Ceased — 31-Jul-2024</w:t>
            </w:r>
          </w:p>
        </w:tc>
      </w:tr>
    </w:tbl>
    <w:p>
      <w:pPr>
        <w:spacing w:after="12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Note: This summary is based on data extracted from the MCA21 portal. For legally binding information, verify directly at www.mca.gov.in.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2026-03-08T06:43:14.530Z</dcterms:created>
  <dcterms:modified xsi:type="dcterms:W3CDTF">2026-03-08T06:43:14.530Z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