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LEGAL DISPUTES &amp; LITIGATION SEARCH REPORT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Vedanta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PAN: AACFL0054P | CIN: L13209MH1965PLC291394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Source: e-Courts Services Portal (ecourts.gov.in), NCLT Portal, Income Tax ITBA Portal, SEBI Orders Database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Search Date: 15 January 2025</w:t>
      </w:r>
    </w:p>
    <w:p>
      <w:pPr>
        <w:spacing w:after="120"/>
      </w:pPr>
    </w:p>
    <w:p>
      <w:pPr>
        <w:pBdr>
          <w:left w:val="thick" w:color="C00000" w:sz="8"/>
        </w:pBdr>
        <w:shd w:fill="FFF2CC" w:val="clear"/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WARNING: Total litigation exposure: ₹38,150 Crores. This is significant relative to the company's net worth. 4 cases involve exposures exceeding ₹1,000 Cr each.</w:t>
      </w:r>
    </w:p>
    <w:p>
      <w:pPr>
        <w:spacing w:after="120"/>
      </w:pPr>
    </w:p>
    <w:p>
      <w:pPr>
        <w:pStyle w:val="Heading2"/>
      </w:pPr>
      <w:r>
        <w:t xml:space="preserve">CASE-WISE LITIGATION DETAILS</w:t>
      </w:r>
    </w:p>
    <w:p>
      <w:pPr>
        <w:pStyle w:val="Heading3"/>
      </w:pPr>
      <w:r>
        <w:t xml:space="preserve">Case 1: Vedanta Ltd vs State of Tamil Nadu &amp; Ors (Sterlite Copper)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Supreme Court of India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SLP(C) No. 14812/2019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Environmental/Writ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₹25,000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Admitted — next hearing Jan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provision — ₹500 Cr per Note 34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2: DCIT vs Vedanta Ltd — Transfer Pricing AY2019-20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Income Tax Appellate Tribunal, Mumbai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ITA No. 2831/Mum/2022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Dispute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₹8,200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Pending — Part-heard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provision — ₹500 Cr per Note 34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3: Vedanta Ltd vs State of Rajasthan — Mining Royalty Demand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Rajasthan High Court, Jodhpur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 Civil Writ Petition 4521/2022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Royalty/Revenue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₹3,100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Stay granted; matter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Contingent liability disclosed; no provision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4: Customs Commissioner vs Vedanta — FTA aluminium import duty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CESTAT, Chennai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CUS-EA-00123/2023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Customs Duty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₹1,850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Appeal filed — admission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Contingent liability disclosed; no provision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5: SEBI vs Vedanta Ltd — Promoter Pledge Disclosure (Reg 31)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SEBI, New Delhi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SEBI/EAD/Enf/00234/2024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Non-monetary (regulatory)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SCN issued; response filed by 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LITIGATION RISK ASSESSMENT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Litigation Risk: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Sterlite Tuticorin matter is the dominant risk. While the Supreme Court has not yet ruled on quantum of damages, the political and environmental sensitivity makes a favourable ruling uncertain. The income tax Transfer Pricing demand of ₹8,200 Cr, while at a lower judicial stage (CIT(A)), represents a systemic risk given that VedL has extensive related-party transactions with Vedanta Resources group entities. SEBI inquiry on pledge disclosures, if it escalates to enforcement proceedings, could result in significant penalties and management distraction.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2026-03-08T06:43:14.610Z</dcterms:created>
  <dcterms:modified xsi:type="dcterms:W3CDTF">2026-03-08T06:43:14.610Z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