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FACTORY / SITE VISIT NOTES</w:t>
      </w:r>
    </w:p>
    <w:p>
      <w:pPr>
        <w:spacing w:after="120" w:before="60"/>
        <w:jc w:val="both"/>
      </w:pPr>
      <w:r>
        <w:rPr>
          <w:rFonts w:ascii="Arial" w:cs="Arial" w:eastAsia="Arial" w:hAnsi="Arial"/>
          <w:b/>
          <w:bCs/>
          <w:i w:val="false"/>
          <w:iCs w:val="false"/>
          <w:color w:val="C00000"/>
          <w:sz w:val="18"/>
          <w:szCs w:val="18"/>
        </w:rPr>
        <w:t xml:space="preserve">CONFIDENTIAL — Credit Due Diligence Document</w:t>
      </w:r>
    </w:p>
    <w:p>
      <w:pPr>
        <w:pBdr>
          <w:bottom w:val="single" w:color="1F4E79" w:sz="6" w:space="1"/>
        </w:pBdr>
        <w:spacing w:after="100"/>
      </w:pPr>
    </w:p>
    <w:p>
      <w:pPr>
        <w:spacing w:after="8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Borrower Entity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Vedanta Limited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Site Visited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Lanjigarh Aluminium Refinery, Odisha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 of Visit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 October 2024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Credit Officers Present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Lead Credit Manager + Site Inspection Engineer (Tech Desk)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 from Company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 Head / Factory Manager</w:t>
            </w:r>
          </w:p>
        </w:tc>
      </w:tr>
    </w:tbl>
    <w:p>
      <w:pPr>
        <w:spacing w:after="160"/>
      </w:pPr>
    </w:p>
    <w:p>
      <w:pPr>
        <w:pStyle w:val="Heading2"/>
      </w:pPr>
      <w:r>
        <w:t xml:space="preserve">1. OPERATIONAL OBSERVATIONS</w:t>
      </w:r>
    </w:p>
    <w:p>
      <w:pPr>
        <w:spacing w:after="120" w:before="60"/>
        <w:jc w:val="both"/>
      </w:pPr>
      <w:r>
        <w:rPr>
          <w:rFonts w:ascii="Arial" w:cs="Arial" w:eastAsia="Arial" w:hAnsi="Arial"/>
          <w:b/>
          <w:bCs/>
          <w:i w:val="false"/>
          <w:iCs w:val="false"/>
          <w:color w:val="000000"/>
          <w:sz w:val="20"/>
          <w:szCs w:val="20"/>
        </w:rPr>
        <w:t xml:space="preserve">Capacity Utilisation Observed: 78%</w:t>
      </w:r>
    </w:p>
    <w:p>
      <w:pPr>
        <w:spacing w:after="120" w:before="60"/>
        <w:jc w:val="both"/>
      </w:pPr>
      <w:r>
        <w:rPr>
          <w:rFonts w:ascii="Arial" w:cs="Arial" w:eastAsia="Arial" w:hAnsi="Arial"/>
          <w:b w:val="false"/>
          <w:bCs w:val="false"/>
          <w:i w:val="false"/>
          <w:iCs w:val="false"/>
          <w:color w:val="000000"/>
          <w:sz w:val="20"/>
          <w:szCs w:val="20"/>
        </w:rPr>
        <w:t xml:space="preserve">The Lanjigarh refinery is operating at 78% of nameplate capacity (1.75 MTPA alumina). Operations appeared organised with adequate workforce (3,200 workers observed on site).</w:t>
      </w:r>
    </w:p>
    <w:p>
      <w:pPr>
        <w:pStyle w:val="Heading3"/>
      </w:pPr>
      <w:r>
        <w:t xml:space="preserve">Raw Materials &amp; Inventory</w:t>
      </w:r>
    </w:p>
    <w:p>
      <w:pPr>
        <w:spacing w:after="120" w:before="60"/>
        <w:jc w:val="both"/>
      </w:pPr>
      <w:r>
        <w:rPr>
          <w:rFonts w:ascii="Arial" w:cs="Arial" w:eastAsia="Arial" w:hAnsi="Arial"/>
          <w:b w:val="false"/>
          <w:bCs w:val="false"/>
          <w:i w:val="false"/>
          <w:iCs w:val="false"/>
          <w:color w:val="000000"/>
          <w:sz w:val="20"/>
          <w:szCs w:val="20"/>
        </w:rPr>
        <w:t xml:space="preserve">Bauxite stockpiles: ~45 days of production visible in stockyard. Finished aluminium slabs: approximately 18,000 MT observed in warehouse, suggesting 12-18 days of slow offtake based on stated production capacity.</w:t>
      </w:r>
    </w:p>
    <w:p>
      <w:pPr>
        <w:pBdr>
          <w:left w:val="thick" w:color="C00000" w:sz="8"/>
        </w:pBdr>
        <w:shd w:fill="FFF2CC" w:val="clear"/>
        <w:spacing w:after="120"/>
        <w:ind w:left="200"/>
      </w:pPr>
      <w:r>
        <w:rPr>
          <w:rFonts w:ascii="Arial" w:cs="Arial" w:eastAsia="Arial" w:hAnsi="Arial"/>
          <w:b/>
          <w:bCs/>
          <w:color w:val="C00000"/>
          <w:sz w:val="20"/>
          <w:szCs w:val="20"/>
        </w:rPr>
        <w:t xml:space="preserve">⚠ WARNING: Finished goods inventory appears elevated. At current production rate, ~18,000 MT awaiting dispatch may indicate either customer payment delays or demand softness. Reconcile against bank statement collections.</w:t>
      </w:r>
    </w:p>
    <w:p>
      <w:pPr>
        <w:pStyle w:val="Heading3"/>
      </w:pPr>
      <w:r>
        <w:t xml:space="preserve">Power &amp; Utilities</w:t>
      </w:r>
    </w:p>
    <w:p>
      <w:pPr>
        <w:spacing w:after="120" w:before="60"/>
        <w:jc w:val="both"/>
      </w:pPr>
      <w:r>
        <w:rPr>
          <w:rFonts w:ascii="Arial" w:cs="Arial" w:eastAsia="Arial" w:hAnsi="Arial"/>
          <w:b w:val="false"/>
          <w:bCs w:val="false"/>
          <w:i w:val="false"/>
          <w:iCs w:val="false"/>
          <w:color w:val="000000"/>
          <w:sz w:val="20"/>
          <w:szCs w:val="20"/>
        </w:rPr>
        <w:t xml:space="preserve">Captive power plant (600 MW) operating at 82%. Grid power dependency increased by 12% vs prior year due to Unit 2 maintenance outage. Grid power costs are ~30-35% higher than captive, creating margin pressure.</w:t>
      </w:r>
    </w:p>
    <w:p>
      <w:pPr>
        <w:pStyle w:val="Heading3"/>
      </w:pPr>
      <w:r>
        <w:t xml:space="preserve">Environmental &amp; Compliance</w:t>
      </w:r>
    </w:p>
    <w:p>
      <w:pPr>
        <w:spacing w:after="120" w:before="60"/>
        <w:jc w:val="both"/>
      </w:pPr>
      <w:r>
        <w:rPr>
          <w:rFonts w:ascii="Arial" w:cs="Arial" w:eastAsia="Arial" w:hAnsi="Arial"/>
          <w:b w:val="false"/>
          <w:bCs w:val="false"/>
          <w:i w:val="false"/>
          <w:iCs w:val="false"/>
          <w:color w:val="000000"/>
          <w:sz w:val="20"/>
          <w:szCs w:val="20"/>
        </w:rPr>
        <w:t xml:space="preserve">Stack emissions observed within CPCB limits per last CPCB inspection report (June 2024). However, dust suppression system in Sector 3 was visibly non-operational during the visit. Dust suppression partially non-operational (Sector 3). Tailings pond seepage noted near perimeter.</w:t>
      </w:r>
    </w:p>
    <w:p>
      <w:pPr>
        <w:pBdr>
          <w:left w:val="thick" w:color="C00000" w:sz="8"/>
        </w:pBdr>
        <w:shd w:fill="FFF2CC" w:val="clear"/>
        <w:spacing w:after="120"/>
        <w:ind w:left="200"/>
      </w:pPr>
      <w:r>
        <w:rPr>
          <w:rFonts w:ascii="Arial" w:cs="Arial" w:eastAsia="Arial" w:hAnsi="Arial"/>
          <w:b/>
          <w:bCs/>
          <w:color w:val="C00000"/>
          <w:sz w:val="20"/>
          <w:szCs w:val="20"/>
        </w:rPr>
        <w:t xml:space="preserve">⚠ WARNING: Tailings pond seepage near perimeter observed. This is an environmental risk item. Factory management stated it is under remediation. Given the Sterlite Tuticorin precedent, any regulatory escalation on environmental non-compliance at Lanjigarh could be a severe credit event.</w:t>
      </w:r>
    </w:p>
    <w:p>
      <w:pPr>
        <w:pStyle w:val="Heading3"/>
      </w:pPr>
      <w:r>
        <w:t xml:space="preserve">Concern — Force Majeure Risk</w:t>
      </w:r>
    </w:p>
    <w:p>
      <w:pPr>
        <w:spacing w:after="120" w:before="60"/>
        <w:jc w:val="both"/>
      </w:pPr>
      <w:r>
        <w:rPr>
          <w:rFonts w:ascii="Arial" w:cs="Arial" w:eastAsia="Arial" w:hAnsi="Arial"/>
          <w:b w:val="false"/>
          <w:bCs w:val="false"/>
          <w:i w:val="false"/>
          <w:iCs w:val="false"/>
          <w:color w:val="000000"/>
          <w:sz w:val="20"/>
          <w:szCs w:val="20"/>
        </w:rPr>
        <w:t xml:space="preserve">Possible force majeure on 2 power supply contracts under dispute with state utility.</w:t>
      </w:r>
    </w:p>
    <w:p>
      <w:pPr>
        <w:spacing w:after="160"/>
      </w:pPr>
    </w:p>
    <w:p>
      <w:pPr>
        <w:pStyle w:val="Heading2"/>
      </w:pPr>
      <w:r>
        <w:t xml:space="preserve">2. OVERALL VISIT ASSESSMENT</w:t>
      </w:r>
    </w:p>
    <w:p>
      <w:pPr>
        <w:spacing w:after="120" w:before="60"/>
        <w:jc w:val="both"/>
      </w:pPr>
      <w:r>
        <w:rPr>
          <w:rFonts w:ascii="Arial" w:cs="Arial" w:eastAsia="Arial" w:hAnsi="Arial"/>
          <w:b w:val="false"/>
          <w:bCs w:val="false"/>
          <w:i w:val="false"/>
          <w:iCs w:val="false"/>
          <w:color w:val="000000"/>
          <w:sz w:val="20"/>
          <w:szCs w:val="20"/>
        </w:rPr>
        <w:t xml:space="preserve">The Lanjigarh plant is operational and well-maintained in most areas. Environmental compliance gaps (dust suppression, tailings pond) are cause for concern, particularly given regulatory history. Elevated finished goods inventory requires explanation. The force majeure risk on power contracts adds to operational uncertainty.</w:t>
      </w:r>
    </w:p>
    <w:p>
      <w:pPr>
        <w:spacing w:after="120" w:before="60"/>
        <w:jc w:val="both"/>
      </w:pPr>
      <w:r>
        <w:rPr>
          <w:rFonts w:ascii="Arial" w:cs="Arial" w:eastAsia="Arial" w:hAnsi="Arial"/>
          <w:b/>
          <w:bCs/>
          <w:i w:val="false"/>
          <w:iCs w:val="false"/>
          <w:color w:val="000000"/>
          <w:sz w:val="20"/>
          <w:szCs w:val="20"/>
        </w:rPr>
        <w:t xml:space="preserve">Credit Officer Recommendation: Proceed with caution. Environmental and financial risk factors require mitigation clauses in the sanction letter. Recommend inclusion of covenant: (a) Debt/EBITDA not to exceed 8.5x; (b) Promoter pledge to reduce by 10pp within 18 months; (c) Environmental compliance certificate to be submitted quarterly.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2"/>
      <w:szCs w:val="22"/>
    </w:rPr>
  </w:style>
  <w:style w:type="paragraph" w:styleId="Heading3">
    <w:name w:val="Heading 3"/>
    <w:basedOn w:val="Normal"/>
    <w:next w:val="Normal"/>
    <w:qFormat/>
    <w:pPr>
      <w:spacing w:before="120" w:after="6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2026-03-08T06:43:14.642Z</dcterms:created>
  <dcterms:modified xsi:type="dcterms:W3CDTF">2026-03-08T06:43:14.642Z</dcterms:modified>
</cp:coreProperties>
</file>

<file path=docProps/custom.xml><?xml version="1.0" encoding="utf-8"?>
<Properties xmlns="http://schemas.openxmlformats.org/officeDocument/2006/custom-properties" xmlns:vt="http://schemas.openxmlformats.org/officeDocument/2006/docPropsVTypes"/>
</file>