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MANAGEMENT DUE DILIGENCE — INTERVIEW NOTES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8"/>
          <w:szCs w:val="18"/>
        </w:rPr>
        <w:t xml:space="preserve">CONFIDENTIAL — For Internal Credit Use Only</w:t>
      </w:r>
    </w:p>
    <w:p>
      <w:pPr>
        <w:pBdr>
          <w:bottom w:val="single" w:color="1F4E79" w:sz="6" w:space="1"/>
        </w:pBdr>
        <w:spacing w:after="100"/>
      </w:pPr>
    </w:p>
    <w:p>
      <w:pPr>
        <w:spacing w:after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Borrower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Vedanta Limited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Interview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October 2024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Attendees (Company)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Mr. Ajay Goel (CFO), Ms. Priya Sharma (VP Treasury), Mr. Siddharth Kapoor (General Counsel)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Attendees (Bank)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Credit Manager, Relationship Manager, Credit Analyst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In-person at Company Registered Office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KEY DISCUSSION POINTS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Refinancing plan:</w:t>
      </w:r>
      <w:r>
        <w:rPr>
          <w:rFonts w:ascii="Arial" w:cs="Arial" w:eastAsia="Arial" w:hAnsi="Arial"/>
          <w:sz w:val="20"/>
          <w:szCs w:val="20"/>
        </w:rPr>
        <w:t xml:space="preserve"> ₹12,000 Cr bonds maturing FY2025 via ECB + domestic NCDs. No term sheet presented during meeting.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Demerger:</w:t>
      </w:r>
      <w:r>
        <w:rPr>
          <w:rFonts w:ascii="Arial" w:cs="Arial" w:eastAsia="Arial" w:hAnsi="Arial"/>
          <w:sz w:val="20"/>
          <w:szCs w:val="20"/>
        </w:rPr>
        <w:t xml:space="preserve"> NCLT petition filed. Approval expected in 12-18 months. Targeted at unlocking value, not deleveraging.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Promoter pledge:</w:t>
      </w:r>
      <w:r>
        <w:rPr>
          <w:rFonts w:ascii="Arial" w:cs="Arial" w:eastAsia="Arial" w:hAnsi="Arial"/>
          <w:sz w:val="20"/>
          <w:szCs w:val="20"/>
        </w:rPr>
        <w:t xml:space="preserve"> Acknowledged 92.3% pledge. Stated VRL (UK parent) has sold Vedanta Base Metals South Africa for $1.3 Bn proceeds partially used for debt reduction.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Sterlite Copper:</w:t>
      </w:r>
      <w:r>
        <w:rPr>
          <w:rFonts w:ascii="Arial" w:cs="Arial" w:eastAsia="Arial" w:hAnsi="Arial"/>
          <w:sz w:val="20"/>
          <w:szCs w:val="20"/>
        </w:rPr>
        <w:t xml:space="preserve"> Legal team NOT available for discussion — General Counsel declined to elaborate beyond public disclosures.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FY2025 guidance:</w:t>
      </w:r>
      <w:r>
        <w:rPr>
          <w:rFonts w:ascii="Arial" w:cs="Arial" w:eastAsia="Arial" w:hAnsi="Arial"/>
          <w:sz w:val="20"/>
          <w:szCs w:val="20"/>
        </w:rPr>
        <w:t xml:space="preserve"> Revenue ₹33,000-35,000 Cr; EBITDA margin 26-28%. Dependent on Zinc LME staying above $2,400/MT.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Capex:</w:t>
      </w:r>
      <w:r>
        <w:rPr>
          <w:rFonts w:ascii="Arial" w:cs="Arial" w:eastAsia="Arial" w:hAnsi="Arial"/>
          <w:sz w:val="20"/>
          <w:szCs w:val="20"/>
        </w:rPr>
        <w:t xml:space="preserve"> ₹4,200 Cr planned for FY2025 — mainly aluminium expansion at Jharsuguda and Lanjigarh capacity creep.</w:t>
      </w:r>
    </w:p>
    <w:p>
      <w:pPr>
        <w:spacing w:after="160"/>
      </w:pPr>
    </w:p>
    <w:p>
      <w:pPr>
        <w:pStyle w:val="Heading2"/>
      </w:pPr>
      <w:r>
        <w:t xml:space="preserve">CREDIT OFFICER OBSERVATIONS &amp; CONCERNS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General Counsel's reluctance to discuss Sterlite and SEBI inquiry is a material observation. No concrete deleveraging timeline provided despite analyst consensus that FY2025 is a critical year for VRL debt maturity.</w:t>
      </w:r>
    </w:p>
    <w:p>
      <w:pPr>
        <w:spacing w:after="160"/>
      </w:pPr>
    </w:p>
    <w:p>
      <w:pPr>
        <w:pStyle w:val="Heading2"/>
      </w:pPr>
      <w:r>
        <w:t xml:space="preserve">MANAGEMENT QUALITY ASSESSMENT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 (1-5)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Strategic 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Demerger strategy is sound but execution timeline is uncertain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Acumen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CFO demonstrated strong grasp of capital structure and commodity hedging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Transparency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Reluctance to discuss Sterlite and SEBI inquiry is concerning; selective disclosure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 Track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Aluminium expansion delivered; however Sterlite closure has been a significant failure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Succession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CEO recently appointed; transition risk exists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PRELIMINARY CREDIT RECOMMENDATION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CONDITIONAL APPROVAL (High Risk). Recommend sanction of ₹3,500 Cr (70% of ₹5,000 Cr requested) working capital facility. Risk premium of 200-250 bps over benchmark. Conditions: (a) Reduce promoter pledge to below 75% within 24 months; (b) Personal guarantee of Promoter Director; (c) Regular 45-day reporting of environmental compliance certificate from Lanjigarh. Final approval pending legal opinion on Sterlite litigation exposure adequacy and pledge covenant feasibility.</w:t>
      </w:r>
    </w:p>
    <w:p>
      <w:pPr>
        <w:spacing w:after="200"/>
      </w:pP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          _______________________________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 Credit Manager                               Date: 15 October 2024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2026-03-08T06:43:14.714Z</dcterms:created>
  <dcterms:modified xsi:type="dcterms:W3CDTF">2026-03-08T06:43:14.714Z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