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2026-03-12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Test Company | CIN: None | Sector: agri_processing</w:t>
      </w:r>
    </w:p>
    <w:p>
      <w:r>
        <w:t>Loan Request: ₹30.00 crore | Tenor: 36 months | Purpose: working_capital</w:t>
      </w:r>
    </w:p>
    <w:p>
      <w:r>
        <w:rPr>
          <w:b/>
        </w:rPr>
        <w:t>Recommendation: APPROVE | Amount: ₹31.84 crore | Rate: 8.75%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Test Company].</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10.0/10 | Risk Level: LOW</w:t>
      </w:r>
    </w:p>
    <w:p>
      <w:pPr>
        <w:pStyle w:val="Heading2"/>
      </w:pPr>
      <w:r>
        <w:t>3.2 Capacity</w:t>
      </w:r>
    </w:p>
    <w:p>
      <w:r>
        <w:t>Score: 7.96/10 | Risk Level: LOW</w:t>
      </w:r>
    </w:p>
    <w:p>
      <w:pPr>
        <w:pStyle w:val="Heading2"/>
      </w:pPr>
      <w:r>
        <w:t>3.3 Capital</w:t>
      </w:r>
    </w:p>
    <w:p>
      <w:r>
        <w:t>Score: 9.65/10 | Risk Level: LOW</w:t>
      </w:r>
    </w:p>
    <w:p>
      <w:pPr>
        <w:pStyle w:val="Heading2"/>
      </w:pPr>
      <w:r>
        <w:t>3.4 Collateral</w:t>
      </w:r>
    </w:p>
    <w:p>
      <w:r>
        <w:t>Score: 7.73/10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1.4444444444444444</w:t>
            </w:r>
          </w:p>
        </w:tc>
      </w:tr>
      <w:tr>
        <w:tc>
          <w:tcPr>
            <w:tcW w:type="dxa" w:w="4320"/>
          </w:tcPr>
          <w:p>
            <w:r>
              <w:t>Debt/Equity</w:t>
            </w:r>
          </w:p>
        </w:tc>
        <w:tc>
          <w:tcPr>
            <w:tcW w:type="dxa" w:w="4320"/>
          </w:tcPr>
          <w:p>
            <w:r>
              <w:t>1.35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1.0</w:t>
            </w:r>
          </w:p>
        </w:tc>
      </w:tr>
      <w:tr>
        <w:tc>
          <w:tcPr>
            <w:tcW w:type="dxa" w:w="4320"/>
          </w:tcPr>
          <w:p>
            <w:r>
              <w:t>Consistency Score</w:t>
            </w:r>
          </w:p>
        </w:tc>
        <w:tc>
          <w:tcPr>
            <w:tcW w:type="dxa" w:w="4320"/>
          </w:tcPr>
          <w:p>
            <w:r>
              <w:t>92.0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Dscr constrains credit quality (impact -0.707).</w:t>
            </w:r>
          </w:p>
        </w:tc>
        <w:tc>
          <w:tcPr>
            <w:tcW w:type="dxa" w:w="2880"/>
          </w:tcPr>
          <w:p>
            <w:r>
              <w:t>Medium/High</w:t>
            </w:r>
          </w:p>
        </w:tc>
        <w:tc>
          <w:tcPr>
            <w:tcW w:type="dxa" w:w="2880"/>
          </w:tcPr>
          <w:p>
            <w:r>
              <w:t>Quarterly covenant tracking and early warning triggers.</w:t>
            </w:r>
          </w:p>
        </w:tc>
      </w:tr>
      <w:tr>
        <w:tc>
          <w:tcPr>
            <w:tcW w:type="dxa" w:w="2880"/>
          </w:tcPr>
          <w:p>
            <w:r>
              <w:t>Factory Capacity Utilization constrains credit quality (impact -0.103).</w:t>
            </w:r>
          </w:p>
        </w:tc>
        <w:tc>
          <w:tcPr>
            <w:tcW w:type="dxa" w:w="2880"/>
          </w:tcPr>
          <w:p>
            <w:r>
              <w:t>Medium/High</w:t>
            </w:r>
          </w:p>
        </w:tc>
        <w:tc>
          <w:tcPr>
            <w:tcW w:type="dxa" w:w="2880"/>
          </w:tcPr>
          <w:p>
            <w:r>
              <w:t>Quarterly covenant tracking and early warning triggers.</w:t>
            </w:r>
          </w:p>
        </w:tc>
      </w:tr>
      <w:tr>
        <w:tc>
          <w:tcPr>
            <w:tcW w:type="dxa" w:w="2880"/>
          </w:tcPr>
          <w:p>
            <w:r>
              <w:t>Current Ratio constrains credit quality (impact -0.074).</w:t>
            </w:r>
          </w:p>
        </w:tc>
        <w:tc>
          <w:tcPr>
            <w:tcW w:type="dxa" w:w="2880"/>
          </w:tcPr>
          <w:p>
            <w:r>
              <w:t>Medium/High</w:t>
            </w:r>
          </w:p>
        </w:tc>
        <w:tc>
          <w:tcPr>
            <w:tcW w:type="dxa" w:w="2880"/>
          </w:tcPr>
          <w:p>
            <w:r>
              <w:t>Quarterly covenant tracking and early warning triggers.</w:t>
            </w:r>
          </w:p>
        </w:tc>
      </w:tr>
    </w:tbl>
    <w:p>
      <w:r>
        <w:t>Overall data consistency score: 92.0</w:t>
      </w:r>
    </w:p>
    <w:p>
      <w:pPr>
        <w:pStyle w:val="Heading1"/>
      </w:pPr>
      <w:r>
        <w:t>SECTION 6: RESEARCH FINDINGS</w:t>
      </w:r>
    </w:p>
    <w:p>
      <w:r>
        <w:t>Secondary research for Test Company indicates a LOW_RISK profile based on 2 sourced findings across litigation, regulatory, promoter, and sector intelligence. No critical enforcement or insolvency signal was identified in the reviewed source set. No strong positive external signal was observed to offset identified concerns. Overall, research output should be treated as a risk-adjusting input to sanction terms, including pricing premium, covenant package, and post-disbursement review cadence.</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871.52/900</w:t>
      </w:r>
    </w:p>
    <w:p>
      <w:r>
        <w:t>Decision: APPROVE</w:t>
      </w:r>
    </w:p>
    <w:p>
      <w:r>
        <w:t>Recommended loan amount: ₹31.84 crore</w:t>
      </w:r>
    </w:p>
    <w:p>
      <w:r>
        <w:t>Recommended interest rate: 8.75% p.a.</w:t>
      </w:r>
    </w:p>
    <w:p>
      <w:r>
        <w:t>Tenor: 36 months</w:t>
      </w:r>
    </w:p>
    <w:p>
      <w:r>
        <w:t>Decision validity window: 30 days (valid up to 2026-04-11)</w:t>
      </w:r>
    </w:p>
    <w:p>
      <w:r>
        <w:t>AI Explainability Note:</w:t>
      </w:r>
    </w:p>
    <w:p>
      <w:r>
        <w:t>The recommendation balances cashflow resilience against detected governance and compliance risks. DSCR is observed at 1.44x, GST ITC gap at N/A (extraction error), and factory utilization at 65.0%. Positive drivers include: Has Going Concern Doubt reduces risk concern (impact -1.341).; Has Nclt Proceedings reduces risk concern (impact -0.900).; Ebitda Margin supports credit quality (impact +0.624). Key constraints include: Dscr constrains credit quality (impact -0.707).; Factory Capacity Utilization constrains credit quality (impact -0.103).; Current Ratio constrains credit quality (impact -0.074).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has_going_concern_doubt, has_nclt_proceedings, dscr, ebitda_margin, has_promoter_fraud_news, average_bank_balance_to_limit_ratio, gstr3b_vs_2a_itc_gap, factory_capacity_utilization, gst_return_filing_consistency, collateral_type_score</w:t>
      </w:r>
    </w:p>
    <w:p>
      <w:r>
        <w:t>Annexure D: Glossary of Indian credit terms</w:t>
      </w:r>
    </w:p>
    <w:p>
      <w:r>
        <w:t>Annexure E: Decision Traceability and Governance</w:t>
      </w:r>
    </w:p>
    <w:p>
      <w:r>
        <w:t>CAM generation date: 2026-03-12</w:t>
      </w:r>
    </w:p>
    <w:p>
      <w:r>
        <w:t>Model stack: Rules + ML calibration + explainability narrative</w:t>
      </w:r>
    </w:p>
    <w:p>
      <w:r>
        <w:t>Total web-research findings considered: 2</w:t>
      </w:r>
    </w:p>
    <w:p>
      <w:r>
        <w:t>Human-in-the-loop adjustment from due diligence: +0.0</w:t>
      </w:r>
    </w:p>
    <w:p>
      <w:r>
        <w:t>Final decision score delta from human input: +0.0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