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2026-03-12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 CIN: None | Sector: agri_processing</w:t>
      </w:r>
    </w:p>
    <w:p>
      <w:r>
        <w:t>Loan Request: ₹30.00 crore | Tenor: 36 months | Purpose: working_capital</w:t>
      </w:r>
    </w:p>
    <w:p>
      <w:r>
        <w:rPr>
          <w:b/>
        </w:rPr>
        <w:t>Recommendation: REJECT | Limit: Not Sanctioned (Requested: ₹30.00 crore) | Rate: N/A</w:t>
      </w:r>
    </w:p>
    <w:p>
      <w:r>
        <w:t>Rejection reasons: severe_gst_mismatch</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9.0/10 | Risk Level: LOW</w:t>
      </w:r>
    </w:p>
    <w:p>
      <w:pPr>
        <w:pStyle w:val="Heading2"/>
      </w:pPr>
      <w:r>
        <w:t>3.2 Capacity</w:t>
      </w:r>
    </w:p>
    <w:p>
      <w:r>
        <w:t>Score: 8.45/10 | Risk Level: LOW</w:t>
      </w:r>
    </w:p>
    <w:p>
      <w:pPr>
        <w:pStyle w:val="Heading2"/>
      </w:pPr>
      <w:r>
        <w:t>3.3 Capital</w:t>
      </w:r>
    </w:p>
    <w:p>
      <w:r>
        <w:t>Score: 1.0/10 | Risk Level: HIGH</w:t>
      </w:r>
    </w:p>
    <w:p>
      <w:pPr>
        <w:pStyle w:val="Heading2"/>
      </w:pPr>
      <w:r>
        <w:t>3.4 Collateral</w:t>
      </w:r>
    </w:p>
    <w:p>
      <w:r>
        <w:t>Score: 7.73/10 | Risk Level: LOW</w:t>
      </w:r>
    </w:p>
    <w:p>
      <w:pPr>
        <w:pStyle w:val="Heading2"/>
      </w:pPr>
      <w:r>
        <w:t>3.5 Conditions</w:t>
      </w:r>
    </w:p>
    <w:p>
      <w:r>
        <w:t>Score: 4.5/10 | Risk Level: HIGH</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2.011111111111111</w:t>
            </w:r>
          </w:p>
        </w:tc>
      </w:tr>
      <w:tr>
        <w:tc>
          <w:tcPr>
            <w:tcW w:type="dxa" w:w="4320"/>
          </w:tcPr>
          <w:p>
            <w:r>
              <w:t>Debt/Equity</w:t>
            </w:r>
          </w:p>
        </w:tc>
        <w:tc>
          <w:tcPr>
            <w:tcW w:type="dxa" w:w="4320"/>
          </w:tcPr>
          <w:p>
            <w:r>
              <w:t>12.906</w:t>
            </w:r>
          </w:p>
        </w:tc>
      </w:tr>
      <w:tr>
        <w:tc>
          <w:tcPr>
            <w:tcW w:type="dxa" w:w="4320"/>
          </w:tcPr>
          <w:p>
            <w:r>
              <w:t>Current Ratio</w:t>
            </w:r>
          </w:p>
        </w:tc>
        <w:tc>
          <w:tcPr>
            <w:tcW w:type="dxa" w:w="4320"/>
          </w:tcPr>
          <w:p>
            <w:r>
              <w:t>0.96</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Gstr3B Vs 2A Itc Gap weakens credit quality (impact +0.958).</w:t>
            </w:r>
          </w:p>
        </w:tc>
        <w:tc>
          <w:tcPr>
            <w:tcW w:type="dxa" w:w="2880"/>
          </w:tcPr>
          <w:p>
            <w:r>
              <w:t>Medium/High</w:t>
            </w:r>
          </w:p>
        </w:tc>
        <w:tc>
          <w:tcPr>
            <w:tcW w:type="dxa" w:w="2880"/>
          </w:tcPr>
          <w:p>
            <w:r>
              <w:t>Quarterly covenant tracking and early warning triggers.</w:t>
            </w:r>
          </w:p>
        </w:tc>
      </w:tr>
      <w:tr>
        <w:tc>
          <w:tcPr>
            <w:tcW w:type="dxa" w:w="2880"/>
          </w:tcPr>
          <w:p>
            <w:r>
              <w:t>Dscr constrains credit quality (impact -0.770).</w:t>
            </w:r>
          </w:p>
        </w:tc>
        <w:tc>
          <w:tcPr>
            <w:tcW w:type="dxa" w:w="2880"/>
          </w:tcPr>
          <w:p>
            <w:r>
              <w:t>Medium/High</w:t>
            </w:r>
          </w:p>
        </w:tc>
        <w:tc>
          <w:tcPr>
            <w:tcW w:type="dxa" w:w="2880"/>
          </w:tcPr>
          <w:p>
            <w:r>
              <w:t>Quarterly covenant tracking and early warning triggers.</w:t>
            </w:r>
          </w:p>
        </w:tc>
      </w:tr>
      <w:tr>
        <w:tc>
          <w:tcPr>
            <w:tcW w:type="dxa" w:w="2880"/>
          </w:tcPr>
          <w:p>
            <w:r>
              <w:t>Debt Equity Ratio weakens credit quality (impact +0.129).</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Secondary research for vizag indicates a LOW_RISK profile based on 2 sourced findings across litigation, regulatory, promoter, and sector intelligence. No critical enforcement or insolvency signal was identified in the reviewed source set. No strong positive external signal was observed to offset identified concerns. Overall, research output should be treated as a risk-adjusting input to sanction terms, including pricing premium, covenant package, and post-disbursement review cadence.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450.0/900</w:t>
      </w:r>
    </w:p>
    <w:p>
      <w:r>
        <w:t>Decision: REJECT</w:t>
      </w:r>
    </w:p>
    <w:p>
      <w:r>
        <w:t>Recommended loan amount: ₹30.00 crore</w:t>
      </w:r>
    </w:p>
    <w:p>
      <w:r>
        <w:t>Recommended interest rate: 11.50% p.a.</w:t>
      </w:r>
    </w:p>
    <w:p>
      <w:r>
        <w:t>Tenor: 36 months</w:t>
      </w:r>
    </w:p>
    <w:p>
      <w:r>
        <w:t>Decision validity window: 30 days (valid up to 2026-04-11)</w:t>
      </w:r>
    </w:p>
    <w:p>
      <w:r>
        <w:t>AI Explainability Note:</w:t>
      </w:r>
    </w:p>
    <w:p>
      <w:r>
        <w:t>The recommendation balances cashflow resilience against detected governance and compliance risks. DSCR is observed at 2.01x, GST ITC gap at 29.30%, and factory utilization at 65.0%. Positive drivers include: Has Going Concern Doubt reduces risk concern (impact -1.038).; Has Nclt Proceedings reduces risk concern (impact -0.651).; Has Promoter Fraud News reduces risk concern (impact -0.555). Key constraints include: Gstr3B Vs 2A Itc Gap weakens credit quality (impact +0.958).; Dscr constrains credit quality (impact -0.770).; Debt Equity Ratio weakens credit quality (impact +0.129).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gstr3b_vs_2a_itc_gap, dscr, has_nclt_proceedings, has_promoter_fraud_news, average_bank_balance_to_limit_ratio, debt_equity_ratio, gst_return_filing_consistency, due_diligence_risk_adjustment, current_ratio</w:t>
      </w:r>
    </w:p>
    <w:p>
      <w:r>
        <w:t>Annexure D: Glossary of Indian credit terms</w:t>
      </w:r>
    </w:p>
    <w:p>
      <w:r>
        <w:t>Annexure E: Decision Traceability and Governance</w:t>
      </w:r>
    </w:p>
    <w:p>
      <w:r>
        <w:t>CAM generation date: 2026-03-12</w:t>
      </w:r>
    </w:p>
    <w:p>
      <w:r>
        <w:t>Model stack: Rules + ML calibration + explainability narrative</w:t>
      </w:r>
    </w:p>
    <w:p>
      <w:r>
        <w:t>Total web-research findings considered: 2</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