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2026-03-14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Bharat Industries Limited | CIN: None | Sector: agri_processing</w:t>
      </w:r>
    </w:p>
    <w:p>
      <w:r>
        <w:t>Loan Request: ₹30.00 Cr | Tenor: 36 months | Purpose: working_capital</w:t>
      </w:r>
    </w:p>
    <w:p>
      <w:r>
        <w:rPr>
          <w:b/>
        </w:rPr>
        <w:t>Recommendation: APPROVE | Amount: ₹3.75 Cr | Rate: 9.00%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Bharat Industries Limited].</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7.96/10 | Risk Level: LOW</w:t>
      </w:r>
    </w:p>
    <w:p>
      <w:pPr>
        <w:pStyle w:val="Heading2"/>
      </w:pPr>
      <w:r>
        <w:t>3.3 Capital</w:t>
      </w:r>
    </w:p>
    <w:p>
      <w:r>
        <w:t>Score: 9.65/10 | Risk Level: LOW</w:t>
      </w:r>
    </w:p>
    <w:p>
      <w:pPr>
        <w:pStyle w:val="Heading2"/>
      </w:pPr>
      <w:r>
        <w:t>3.4 Collateral</w:t>
      </w:r>
    </w:p>
    <w:p>
      <w:r>
        <w:t>Score: 7.73/10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1.44x</w:t>
            </w:r>
          </w:p>
        </w:tc>
      </w:tr>
      <w:tr>
        <w:tc>
          <w:tcPr>
            <w:tcW w:type="dxa" w:w="4320"/>
          </w:tcPr>
          <w:p>
            <w:r>
              <w:t>Debt/Equity</w:t>
            </w:r>
          </w:p>
        </w:tc>
        <w:tc>
          <w:tcPr>
            <w:tcW w:type="dxa" w:w="4320"/>
          </w:tcPr>
          <w:p>
            <w:r>
              <w:t>1.35x</w:t>
            </w:r>
          </w:p>
        </w:tc>
      </w:tr>
      <w:tr>
        <w:tc>
          <w:tcPr>
            <w:tcW w:type="dxa" w:w="4320"/>
          </w:tcPr>
          <w:p>
            <w:r>
              <w:t>Current Ratio</w:t>
            </w:r>
          </w:p>
        </w:tc>
        <w:tc>
          <w:tcPr>
            <w:tcW w:type="dxa" w:w="4320"/>
          </w:tcPr>
          <w:p>
            <w:r>
              <w:t>1.4x</w:t>
            </w:r>
          </w:p>
        </w:tc>
      </w:tr>
      <w:tr>
        <w:tc>
          <w:tcPr>
            <w:tcW w:type="dxa" w:w="4320"/>
          </w:tcPr>
          <w:p>
            <w:r>
              <w:t>GST-Banking Ratio</w:t>
            </w:r>
          </w:p>
        </w:tc>
        <w:tc>
          <w:tcPr>
            <w:tcW w:type="dxa" w:w="4320"/>
          </w:tcPr>
          <w:p>
            <w:r>
              <w:t>0.0x</w:t>
            </w:r>
          </w:p>
        </w:tc>
      </w:tr>
      <w:tr>
        <w:tc>
          <w:tcPr>
            <w:tcW w:type="dxa" w:w="4320"/>
          </w:tcPr>
          <w:p>
            <w:r>
              <w:t>Consistency Score</w:t>
            </w:r>
          </w:p>
        </w:tc>
        <w:tc>
          <w:tcPr>
            <w:tcW w:type="dxa" w:w="4320"/>
          </w:tcPr>
          <w:p>
            <w:r>
              <w:t>100.0%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Dscr observed at 1.4444444444444444</w:t>
            </w:r>
          </w:p>
        </w:tc>
        <w:tc>
          <w:tcPr>
            <w:tcW w:type="dxa" w:w="2880"/>
          </w:tcPr>
          <w:p>
            <w:r>
              <w:t>Medium/High</w:t>
            </w:r>
          </w:p>
        </w:tc>
        <w:tc>
          <w:tcPr>
            <w:tcW w:type="dxa" w:w="2880"/>
          </w:tcPr>
          <w:p>
            <w:r>
              <w:t>Quarterly covenant tracking and early warning triggers.</w:t>
            </w:r>
          </w:p>
        </w:tc>
      </w:tr>
      <w:tr>
        <w:tc>
          <w:tcPr>
            <w:tcW w:type="dxa" w:w="2880"/>
          </w:tcPr>
          <w:p>
            <w:r>
              <w:t>Has Promoter Fraud News observed at 0.0</w:t>
            </w:r>
          </w:p>
        </w:tc>
        <w:tc>
          <w:tcPr>
            <w:tcW w:type="dxa" w:w="2880"/>
          </w:tcPr>
          <w:p>
            <w:r>
              <w:t>Medium/High</w:t>
            </w:r>
          </w:p>
        </w:tc>
        <w:tc>
          <w:tcPr>
            <w:tcW w:type="dxa" w:w="2880"/>
          </w:tcPr>
          <w:p>
            <w:r>
              <w:t>Quarterly covenant tracking and early warning triggers.</w:t>
            </w:r>
          </w:p>
        </w:tc>
      </w:tr>
      <w:tr>
        <w:tc>
          <w:tcPr>
            <w:tcW w:type="dxa" w:w="2880"/>
          </w:tcPr>
          <w:p>
            <w:r>
              <w:t>Gstr3B Vs 2A Itc Gap observed at 0.0</w:t>
            </w:r>
          </w:p>
        </w:tc>
        <w:tc>
          <w:tcPr>
            <w:tcW w:type="dxa" w:w="2880"/>
          </w:tcPr>
          <w:p>
            <w:r>
              <w:t>Medium/High</w:t>
            </w:r>
          </w:p>
        </w:tc>
        <w:tc>
          <w:tcPr>
            <w:tcW w:type="dxa" w:w="2880"/>
          </w:tcPr>
          <w:p>
            <w:r>
              <w:t>Quarterly covenant tracking and early warning triggers.</w:t>
            </w:r>
          </w:p>
        </w:tc>
      </w:tr>
    </w:tbl>
    <w:p>
      <w:r>
        <w:t>Overall data consistency score: 100.0%</w:t>
      </w:r>
    </w:p>
    <w:p>
      <w:pPr>
        <w:pStyle w:val="Heading1"/>
      </w:pPr>
      <w:r>
        <w:t>SECTION 6: RESEARCH FINDINGS</w:t>
      </w:r>
    </w:p>
    <w:p>
      <w:r>
        <w:t>Secondary research for Bharat Industries Limited indicates a LOW_RISK profile based on 2 sourced findings across litigation, regulatory, promoter, and sector intelligence. No critical enforcement or insolvency signal was identified in the reviewed source set. No strong positive external signal was observed to offset identified concerns. Overall, research output should be treated as a risk-adjusting input to sanction terms, including pricing premium, covenant package, and post-disbursement review cadence.</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pPr>
        <w:pStyle w:val="Heading1"/>
      </w:pPr>
      <w:r>
        <w:t>SECTION 7: RECOMMENDATION</w:t>
      </w:r>
    </w:p>
    <w:p>
      <w:r>
        <w:t>Final credit score: 864.43/900</w:t>
      </w:r>
    </w:p>
    <w:p>
      <w:r>
        <w:t>Decision: APPROVE</w:t>
      </w:r>
    </w:p>
    <w:p>
      <w:r>
        <w:t>Recommended loan amount: ₹3.75 Cr</w:t>
      </w:r>
    </w:p>
    <w:p>
      <w:r>
        <w:t>Recommended interest rate: 9.00% p.a.</w:t>
      </w:r>
    </w:p>
    <w:p>
      <w:r>
        <w:t>Tenor: 36 months</w:t>
      </w:r>
    </w:p>
    <w:p>
      <w:r>
        <w:t>Decision validity window: 30 days (valid up to 2026-04-13)</w:t>
      </w:r>
    </w:p>
    <w:p>
      <w:r>
        <w:t>AI Explainability Note:</w:t>
      </w:r>
    </w:p>
    <w:p>
      <w:r>
        <w:t>The recommendation balances cashflow resilience against detected governance and compliance risks. DSCR is observed at 1.44x, GST ITC gap at 0.0%, and factory utilization at 65.0%. Positive drivers include: No Has Going Concern Doubt detected - positive governance signal; No Has Nclt Proceedings detected - positive governance signal; Ebitda Margin supports credit quality (value: 10.0) Key constraints include: Dscr observed at 1.4444444444444444; Has Promoter Fraud News observed at 0.0; Gstr3B Vs 2A Itc Gap observed at 0.0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Annexure C: SHAP explanation chart (placeholder)</w:t>
      </w:r>
    </w:p>
    <w:p>
      <w:r>
        <w:t>SHAP top factors: has_going_concern_doubt, has_nclt_proceedings, dscr, ebitda_margin, has_promoter_fraud_news, average_bank_balance_to_limit_ratio, gstr3b_vs_2a_itc_gap, factory_capacity_utilization, gst_return_filing_consistency, collateral_type_score</w:t>
      </w:r>
    </w:p>
    <w:p>
      <w:r>
        <w:t>Annexure D: Glossary of Indian credit terms</w:t>
      </w:r>
    </w:p>
    <w:p>
      <w:r>
        <w:t>Annexure E: Decision Traceability and Governance</w:t>
      </w:r>
    </w:p>
    <w:p>
      <w:r>
        <w:t>CAM generation date: 2026-03-14</w:t>
      </w:r>
    </w:p>
    <w:p>
      <w:r>
        <w:t>Model stack: Rules + ML calibration + explainability narrative</w:t>
      </w:r>
    </w:p>
    <w:p>
      <w:r>
        <w:t>Total web-research findings considered: 2</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