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2026-03-14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jsr | CIN: None | Sector: agri_processing</w:t>
      </w:r>
    </w:p>
    <w:p>
      <w:r>
        <w:t>Loan Request: ₹30.00 crore | Tenor: 36 months | Purpose: working_capital</w:t>
      </w:r>
    </w:p>
    <w:p>
      <w:r>
        <w:rPr>
          <w:b/>
        </w:rPr>
        <w:t>Recommendation: APPROVE | Amount: ₹31.24 crore | Rate: 8.75%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jsr].</w:t>
      </w:r>
    </w:p>
    <w:p>
      <w:pPr>
        <w:pStyle w:val="Heading2"/>
      </w:pPr>
      <w:r>
        <w:t>Borrower Clarifications (Finance Officer Input)</w:t>
      </w:r>
    </w:p>
    <w:p>
      <w:r>
        <w:t>Primary respondent: Not provided by borrower.</w:t>
      </w:r>
    </w:p>
    <w:p>
      <w:r>
        <w:t>Business highlights: No additional borrower business highlights submitted.</w:t>
      </w:r>
    </w:p>
    <w:p>
      <w:r>
        <w:t>Borrower-declared risks: No borrower-declared risks submitted.</w:t>
      </w:r>
    </w:p>
    <w:p>
      <w:r>
        <w:t>Declared capacity utilization: 65.0%</w:t>
      </w:r>
    </w:p>
    <w:p>
      <w:pPr>
        <w:pStyle w:val="Heading1"/>
      </w:pPr>
      <w:r>
        <w:t>SECTION 3: THE FIVE Cs ANALYSIS</w:t>
      </w:r>
    </w:p>
    <w:p>
      <w:pPr>
        <w:pStyle w:val="Heading2"/>
      </w:pPr>
      <w:r>
        <w:t>3.1 Character</w:t>
      </w:r>
    </w:p>
    <w:p>
      <w:r>
        <w:t>Score: 10.0/10 | Risk Level: LOW</w:t>
      </w:r>
    </w:p>
    <w:p>
      <w:pPr>
        <w:pStyle w:val="Heading2"/>
      </w:pPr>
      <w:r>
        <w:t>3.2 Capacity</w:t>
      </w:r>
    </w:p>
    <w:p>
      <w:r>
        <w:t>Score: 7.96/10 | Risk Level: LOW</w:t>
      </w:r>
    </w:p>
    <w:p>
      <w:pPr>
        <w:pStyle w:val="Heading2"/>
      </w:pPr>
      <w:r>
        <w:t>3.3 Capital</w:t>
      </w:r>
    </w:p>
    <w:p>
      <w:r>
        <w:t>Score: 9.65/10 | Risk Level: LOW</w:t>
      </w:r>
    </w:p>
    <w:p>
      <w:pPr>
        <w:pStyle w:val="Heading2"/>
      </w:pPr>
      <w:r>
        <w:t>3.4 Collateral</w:t>
      </w:r>
    </w:p>
    <w:p>
      <w:r>
        <w:t>Score: 7.73/10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1.4444444444444444</w:t>
            </w:r>
          </w:p>
        </w:tc>
      </w:tr>
      <w:tr>
        <w:tc>
          <w:tcPr>
            <w:tcW w:type="dxa" w:w="4320"/>
          </w:tcPr>
          <w:p>
            <w:r>
              <w:t>Debt/Equity</w:t>
            </w:r>
          </w:p>
        </w:tc>
        <w:tc>
          <w:tcPr>
            <w:tcW w:type="dxa" w:w="4320"/>
          </w:tcPr>
          <w:p>
            <w:r>
              <w:t>1.35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0.0</w:t>
            </w:r>
          </w:p>
        </w:tc>
      </w:tr>
      <w:tr>
        <w:tc>
          <w:tcPr>
            <w:tcW w:type="dxa" w:w="4320"/>
          </w:tcPr>
          <w:p>
            <w:r>
              <w:t>Consistency Score</w:t>
            </w:r>
          </w:p>
        </w:tc>
        <w:tc>
          <w:tcPr>
            <w:tcW w:type="dxa" w:w="4320"/>
          </w:tcPr>
          <w:p>
            <w:r>
              <w:t>100.0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Dscr constrains credit quality (impact -0.699).</w:t>
            </w:r>
          </w:p>
        </w:tc>
        <w:tc>
          <w:tcPr>
            <w:tcW w:type="dxa" w:w="2880"/>
          </w:tcPr>
          <w:p>
            <w:r>
              <w:t>Medium/High</w:t>
            </w:r>
          </w:p>
        </w:tc>
        <w:tc>
          <w:tcPr>
            <w:tcW w:type="dxa" w:w="2880"/>
          </w:tcPr>
          <w:p>
            <w:r>
              <w:t>Quarterly covenant tracking and early warning triggers.</w:t>
            </w:r>
          </w:p>
        </w:tc>
      </w:tr>
      <w:tr>
        <w:tc>
          <w:tcPr>
            <w:tcW w:type="dxa" w:w="2880"/>
          </w:tcPr>
          <w:p>
            <w:r>
              <w:t>Factory Capacity Utilization constrains credit quality (impact -0.103).</w:t>
            </w:r>
          </w:p>
        </w:tc>
        <w:tc>
          <w:tcPr>
            <w:tcW w:type="dxa" w:w="2880"/>
          </w:tcPr>
          <w:p>
            <w:r>
              <w:t>Medium/High</w:t>
            </w:r>
          </w:p>
        </w:tc>
        <w:tc>
          <w:tcPr>
            <w:tcW w:type="dxa" w:w="2880"/>
          </w:tcPr>
          <w:p>
            <w:r>
              <w:t>Quarterly covenant tracking and early warning triggers.</w:t>
            </w:r>
          </w:p>
        </w:tc>
      </w:tr>
      <w:tr>
        <w:tc>
          <w:tcPr>
            <w:tcW w:type="dxa" w:w="2880"/>
          </w:tcPr>
          <w:p>
            <w:r>
              <w:t>Current Ratio constrains credit quality (impact -0.073).</w:t>
            </w:r>
          </w:p>
        </w:tc>
        <w:tc>
          <w:tcPr>
            <w:tcW w:type="dxa" w:w="2880"/>
          </w:tcPr>
          <w:p>
            <w:r>
              <w:t>Medium/High</w:t>
            </w:r>
          </w:p>
        </w:tc>
        <w:tc>
          <w:tcPr>
            <w:tcW w:type="dxa" w:w="2880"/>
          </w:tcPr>
          <w:p>
            <w:r>
              <w:t>Quarterly covenant tracking and early warning triggers.</w:t>
            </w:r>
          </w:p>
        </w:tc>
      </w:tr>
    </w:tbl>
    <w:p>
      <w:r>
        <w:t>Overall data consistency score: 100.0</w:t>
      </w:r>
    </w:p>
    <w:p>
      <w:pPr>
        <w:pStyle w:val="Heading1"/>
      </w:pPr>
      <w:r>
        <w:t>SECTION 6: RESEARCH FINDINGS</w:t>
      </w:r>
    </w:p>
    <w:p>
      <w:r>
        <w:t>Secondary research for jsr indicates a LOW_RISK profile based on 2 sourced findings across litigation, regulatory, promoter, and sector intelligence. No critical enforcement or insolvency signal was identified in the reviewed source set. No strong positive external signal was observed to offset identified concerns. Overall, research output should be treated as a risk-adjusting input to sanction terms, including pricing premium, covenant package, and post-disbursement review cadence.</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pPr>
        <w:pStyle w:val="Heading1"/>
      </w:pPr>
      <w:r>
        <w:t>SECTION 7: RECOMMENDATION</w:t>
      </w:r>
    </w:p>
    <w:p>
      <w:r>
        <w:t>Final credit score: 864.43/900</w:t>
      </w:r>
    </w:p>
    <w:p>
      <w:r>
        <w:t>Decision: APPROVE</w:t>
      </w:r>
    </w:p>
    <w:p>
      <w:r>
        <w:t>Recommended loan amount: ₹31.24 crore</w:t>
      </w:r>
    </w:p>
    <w:p>
      <w:r>
        <w:t>Recommended interest rate: 8.75% p.a.</w:t>
      </w:r>
    </w:p>
    <w:p>
      <w:r>
        <w:t>Tenor: 36 months</w:t>
      </w:r>
    </w:p>
    <w:p>
      <w:r>
        <w:t>Decision validity window: 30 days (valid up to 2026-04-13)</w:t>
      </w:r>
    </w:p>
    <w:p>
      <w:r>
        <w:t>AI Explainability Note:</w:t>
      </w:r>
    </w:p>
    <w:p>
      <w:r>
        <w:t>The recommendation balances cashflow resilience against detected governance and compliance risks. DSCR is observed at 1.44x, GST ITC gap at N/A (extraction error), and factory utilization at 65.0%. Positive drivers include: Has Going Concern Doubt reduces risk concern (impact -1.164).; Has Nclt Proceedings reduces risk concern (impact -0.880).; Ebitda Margin supports credit quality (impact +0.633). Key constraints include: Dscr constrains credit quality (impact -0.699).; Factory Capacity Utilization constrains credit quality (impact -0.103).; Current Ratio constrains credit quality (impact -0.073).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Annexure C: SHAP explanation chart (placeholder)</w:t>
      </w:r>
    </w:p>
    <w:p>
      <w:r>
        <w:t>SHAP top factors: has_going_concern_doubt, has_nclt_proceedings, dscr, ebitda_margin, has_promoter_fraud_news, average_bank_balance_to_limit_ratio, gstr3b_vs_2a_itc_gap, factory_capacity_utilization, gst_return_filing_consistency, collateral_type_score</w:t>
      </w:r>
    </w:p>
    <w:p>
      <w:r>
        <w:t>Annexure D: Glossary of Indian credit terms</w:t>
      </w:r>
    </w:p>
    <w:p>
      <w:r>
        <w:t>Annexure E: Decision Traceability and Governance</w:t>
      </w:r>
    </w:p>
    <w:p>
      <w:r>
        <w:t>CAM generation date: 2026-03-14</w:t>
      </w:r>
    </w:p>
    <w:p>
      <w:r>
        <w:t>Model stack: Rules + ML calibration + explainability narrative</w:t>
      </w:r>
    </w:p>
    <w:p>
      <w:r>
        <w:t>Total web-research findings considered: 2</w:t>
      </w:r>
    </w:p>
    <w:p>
      <w:r>
        <w:t>Human-in-the-loop adjustment from due diligence: +0.0</w:t>
      </w:r>
    </w:p>
    <w:p>
      <w:r>
        <w:t>Final decision score delta from human input: +0.0 points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