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2026-03-14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steel | CIN: None | Sector: agri_processing</w:t>
      </w:r>
    </w:p>
    <w:p>
      <w:r>
        <w:t>Loan Request: ₹30.00 crore | Tenor: 36 months | Purpose: working_capital</w:t>
      </w:r>
    </w:p>
    <w:p>
      <w:r>
        <w:rPr>
          <w:b/>
        </w:rPr>
        <w:t>Recommendation: APPROVE | Amount: ₹31.24 crore | Rate: 8.75%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 steel].</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7.96/10 | Risk Level: LOW</w:t>
      </w:r>
    </w:p>
    <w:p>
      <w:pPr>
        <w:pStyle w:val="Heading2"/>
      </w:pPr>
      <w:r>
        <w:t>3.3 Capital</w:t>
      </w:r>
    </w:p>
    <w:p>
      <w:r>
        <w:t>Score: 9.65/10 | Risk Level: LOW</w:t>
      </w:r>
    </w:p>
    <w:p>
      <w:pPr>
        <w:pStyle w:val="Heading2"/>
      </w:pPr>
      <w:r>
        <w:t>3.4 Collateral</w:t>
      </w:r>
    </w:p>
    <w:p>
      <w:r>
        <w:t>Score: 7.73/10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1.4444444444444444</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Dscr constrains credit quality (impact -0.699).</w:t>
            </w:r>
          </w:p>
        </w:tc>
        <w:tc>
          <w:tcPr>
            <w:tcW w:type="dxa" w:w="2880"/>
          </w:tcPr>
          <w:p>
            <w:r>
              <w:t>Medium/High</w:t>
            </w:r>
          </w:p>
        </w:tc>
        <w:tc>
          <w:tcPr>
            <w:tcW w:type="dxa" w:w="2880"/>
          </w:tcPr>
          <w:p>
            <w:r>
              <w:t>Quarterly covenant tracking and early warning triggers.</w:t>
            </w:r>
          </w:p>
        </w:tc>
      </w:tr>
      <w:tr>
        <w:tc>
          <w:tcPr>
            <w:tcW w:type="dxa" w:w="2880"/>
          </w:tcPr>
          <w:p>
            <w:r>
              <w:t>Factory Capacity Utilization constrains credit quality (impact -0.103).</w:t>
            </w:r>
          </w:p>
        </w:tc>
        <w:tc>
          <w:tcPr>
            <w:tcW w:type="dxa" w:w="2880"/>
          </w:tcPr>
          <w:p>
            <w:r>
              <w:t>Medium/High</w:t>
            </w:r>
          </w:p>
        </w:tc>
        <w:tc>
          <w:tcPr>
            <w:tcW w:type="dxa" w:w="2880"/>
          </w:tcPr>
          <w:p>
            <w:r>
              <w:t>Quarterly covenant tracking and early warning triggers.</w:t>
            </w:r>
          </w:p>
        </w:tc>
      </w:tr>
      <w:tr>
        <w:tc>
          <w:tcPr>
            <w:tcW w:type="dxa" w:w="2880"/>
          </w:tcPr>
          <w:p>
            <w:r>
              <w:t>Current Ratio constrains credit quality (impact -0.073).</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Secondary research for vizag steel indicates a LOW_RISK profile based on 2 sourced findings across litigation, regulatory, promoter, and sector intelligence. No critical enforcement or insolvency signal was identified in the reviewed source set. No strong positive external signal was observed to offset identified concerns. Overall, research output should be treated as a risk-adjusting input to sanction terms, including pricing premium, covenant package, and post-disbursement review cadence.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864.43/900</w:t>
      </w:r>
    </w:p>
    <w:p>
      <w:r>
        <w:t>Decision: APPROVE</w:t>
      </w:r>
    </w:p>
    <w:p>
      <w:r>
        <w:t>Recommended loan amount: ₹31.24 crore</w:t>
      </w:r>
    </w:p>
    <w:p>
      <w:r>
        <w:t>Recommended interest rate: 8.75% p.a.</w:t>
      </w:r>
    </w:p>
    <w:p>
      <w:r>
        <w:t>Tenor: 36 months</w:t>
      </w:r>
    </w:p>
    <w:p>
      <w:r>
        <w:t>Decision validity window: 30 days (valid up to 2026-04-13)</w:t>
      </w:r>
    </w:p>
    <w:p>
      <w:r>
        <w:t>AI Explainability Note:</w:t>
      </w:r>
    </w:p>
    <w:p>
      <w:r>
        <w:t>The recommendation balances cashflow resilience against detected governance and compliance risks. DSCR is observed at 1.44x, GST ITC gap at N/A (extraction error), and factory utilization at 65.0%. Positive drivers include: Has Going Concern Doubt reduces risk concern (impact -1.164).; Has Nclt Proceedings reduces risk concern (impact -0.880).; Ebitda Margin supports credit quality (impact +0.633). Key constraints include: Dscr constrains credit quality (impact -0.699).; Factory Capacity Utilization constrains credit quality (impact -0.103).; Current Ratio constrains credit quality (impact -0.073).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has_nclt_proceedings, dscr, ebitda_margin, has_promoter_fraud_news, average_bank_balance_to_limit_ratio, gstr3b_vs_2a_itc_gap, factory_capacity_utilization, gst_return_filing_consistency, collateral_type_score</w:t>
      </w:r>
    </w:p>
    <w:p>
      <w:r>
        <w:t>Annexure D: Glossary of Indian credit terms</w:t>
      </w:r>
    </w:p>
    <w:p>
      <w:r>
        <w:t>Annexure E: Decision Traceability and Governance</w:t>
      </w:r>
    </w:p>
    <w:p>
      <w:r>
        <w:t>CAM generation date: 2026-03-14</w:t>
      </w:r>
    </w:p>
    <w:p>
      <w:r>
        <w:t>Model stack: Rules + ML calibration + explainability narrative</w:t>
      </w:r>
    </w:p>
    <w:p>
      <w:r>
        <w:t>Total web-research findings considered: 2</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