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Agri Advisory Implementation Guide</w:t>
      </w:r>
    </w:p>
    <w:p>
      <w:pPr>
        <w:jc w:val="center"/>
      </w:pPr>
      <w:r>
        <w:rPr>
          <w:color w:val="444444"/>
          <w:sz w:val="26"/>
        </w:rPr>
        <w:t>Beckn Protocol v2  |  Domain: advisory:agri</w:t>
      </w:r>
    </w:p>
    <w:p>
      <w:pPr>
        <w:jc w:val="center"/>
      </w:pPr>
      <w:r>
        <w:rPr>
          <w:color w:val="666666"/>
          <w:sz w:val="22"/>
        </w:rPr>
        <w:t>Version 1.0  |  March 2026</w:t>
      </w:r>
    </w:p>
    <w:p/>
    <w:p>
      <w:pPr>
        <w:pStyle w:val="Heading2"/>
      </w:pPr>
      <w:r>
        <w:t>Version History</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1F5C99"/>
          </w:tcPr>
          <w:p>
            <w:pPr>
              <w:jc w:val="center"/>
            </w:pPr>
            <w:r>
              <w:rPr>
                <w:rFonts w:ascii="Arial" w:hAnsi="Arial"/>
                <w:b/>
                <w:color w:val="FFFFFF"/>
                <w:sz w:val="20"/>
              </w:rPr>
              <w:t>Date</w:t>
            </w:r>
          </w:p>
        </w:tc>
        <w:tc>
          <w:tcPr>
            <w:tcW w:type="dxa" w:w="1417"/>
            <w:shd w:val="clear" w:color="auto" w:fill="1F5C99"/>
          </w:tcPr>
          <w:p>
            <w:pPr>
              <w:jc w:val="center"/>
            </w:pPr>
            <w:r>
              <w:rPr>
                <w:rFonts w:ascii="Arial" w:hAnsi="Arial"/>
                <w:b/>
                <w:color w:val="FFFFFF"/>
                <w:sz w:val="20"/>
              </w:rPr>
              <w:t>Version</w:t>
            </w:r>
          </w:p>
        </w:tc>
        <w:tc>
          <w:tcPr>
            <w:tcW w:type="dxa" w:w="6236"/>
            <w:shd w:val="clear" w:color="auto" w:fill="1F5C99"/>
          </w:tcPr>
          <w:p>
            <w:pPr>
              <w:jc w:val="center"/>
            </w:pPr>
            <w:r>
              <w:rPr>
                <w:rFonts w:ascii="Arial" w:hAnsi="Arial"/>
                <w:b/>
                <w:color w:val="FFFFFF"/>
                <w:sz w:val="20"/>
              </w:rPr>
              <w:t>Description</w:t>
            </w:r>
          </w:p>
        </w:tc>
      </w:tr>
      <w:tr>
        <w:tc>
          <w:tcPr>
            <w:tcW w:type="dxa" w:w="1984"/>
            <w:shd w:val="clear" w:color="auto" w:fill="EBF3FB"/>
          </w:tcPr>
          <w:p>
            <w:r>
              <w:rPr>
                <w:rFonts w:ascii="Arial" w:hAnsi="Arial"/>
                <w:sz w:val="20"/>
              </w:rPr>
              <w:t>March 2026</w:t>
            </w:r>
          </w:p>
        </w:tc>
        <w:tc>
          <w:tcPr>
            <w:tcW w:type="dxa" w:w="1417"/>
            <w:shd w:val="clear" w:color="auto" w:fill="EBF3FB"/>
          </w:tcPr>
          <w:p>
            <w:r>
              <w:rPr>
                <w:rFonts w:ascii="Arial" w:hAnsi="Arial"/>
                <w:sz w:val="20"/>
              </w:rPr>
              <w:t>1.0</w:t>
            </w:r>
          </w:p>
        </w:tc>
        <w:tc>
          <w:tcPr>
            <w:tcW w:type="dxa" w:w="6236"/>
            <w:shd w:val="clear" w:color="auto" w:fill="EBF3FB"/>
          </w:tcPr>
          <w:p>
            <w:r>
              <w:rPr>
                <w:rFonts w:ascii="Arial" w:hAnsi="Arial"/>
                <w:sz w:val="20"/>
              </w:rPr>
              <w:t>Initial release — Beckn v2 implementation guide for advisory:agri domain</w:t>
            </w:r>
          </w:p>
        </w:tc>
      </w:tr>
    </w:tbl>
    <w:p/>
    <w:p>
      <w:r>
        <w:br w:type="page"/>
      </w:r>
    </w:p>
    <w:p>
      <w:pPr>
        <w:pStyle w:val="Heading1"/>
      </w:pPr>
      <w:r>
        <w:t>1. Context</w:t>
      </w:r>
    </w:p>
    <w:p>
      <w:r>
        <w:rPr>
          <w:rFonts w:ascii="Arial" w:hAnsi="Arial"/>
          <w:b w:val="0"/>
          <w:i w:val="0"/>
          <w:sz w:val="22"/>
        </w:rPr>
        <w:t>India's agricultural sector faces persistent challenges in information access. Smallholder farmers — who constitute the vast majority of cultivators — often lack timely, localised, and language-appropriate guidance on crop diseases, pest threats, input scheduling, and weather conditions. Advisory content from government institutions like ICAR and state agriculture universities exists in abundance, but it is siloed and rarely surfaces to farmers in a usable format.</w:t>
      </w:r>
    </w:p>
    <w:p>
      <w:r>
        <w:rPr>
          <w:rFonts w:ascii="Arial" w:hAnsi="Arial"/>
          <w:b w:val="0"/>
          <w:i w:val="0"/>
          <w:sz w:val="22"/>
        </w:rPr>
        <w:t>Simultaneously, commodity price data from AGMARKNET and e-NAM is critical for marketing decisions, but accessing live mandi prices across multiple markets requires farmers to navigate government portals that are not optimised for mobile use or vernacular languages.</w:t>
      </w:r>
    </w:p>
    <w:p>
      <w:r>
        <w:rPr>
          <w:rFonts w:ascii="Arial" w:hAnsi="Arial"/>
          <w:b w:val="0"/>
          <w:i w:val="0"/>
          <w:sz w:val="22"/>
        </w:rPr>
        <w:t>The Unified Agriculture Interface (UAI) addresses these gaps by creating an open, interoperable Beckn network for agricultural information services. By standardising the discovery, selection, and fulfilment of advisory content, price data, and weather forecasts across participating platforms, UAI enables any farmer-facing application to access the full breadth of services available on the network through a single integration.</w:t>
      </w:r>
    </w:p>
    <w:p>
      <w:r>
        <w:rPr>
          <w:rFonts w:ascii="Arial" w:hAnsi="Arial"/>
          <w:b w:val="0"/>
          <w:i w:val="0"/>
          <w:sz w:val="22"/>
        </w:rPr>
        <w:t>This guide covers the Beckn Protocol v2 implementation of the advisory:agri domain — the successor to the advisory:uki domain in Beckn v1. It is intended for developers of Buyer App Platforms (BAPs) and Provider Platforms (BPPs) who are building or migrating to v2 implementations.</w:t>
      </w:r>
    </w:p>
    <w:p>
      <w:pPr>
        <w:pStyle w:val="Heading1"/>
      </w:pPr>
      <w:r>
        <w:t>2. Introduction</w:t>
      </w:r>
    </w:p>
    <w:p>
      <w:r>
        <w:rPr>
          <w:rFonts w:ascii="Arial" w:hAnsi="Arial"/>
          <w:b w:val="0"/>
          <w:i w:val="0"/>
          <w:sz w:val="22"/>
        </w:rPr>
        <w:t>The advisory:agri domain defines three distinct sub-use cases on the UAI Beckn network:</w:t>
      </w:r>
    </w:p>
    <w:p>
      <w:pPr>
        <w:pStyle w:val="ListBullet"/>
        <w:ind w:left="360"/>
      </w:pPr>
      <w:r>
        <w:rPr>
          <w:rFonts w:ascii="Arial" w:hAnsi="Arial"/>
          <w:sz w:val="22"/>
        </w:rPr>
        <w:t>Crop and Disease Advisory (UC1) — discovery and consumption of free and paid agri advisory content (articles, videos, PDFs, audio) covering disease control, spray schedules, pest forecasting, and general crop management.</w:t>
      </w:r>
    </w:p>
    <w:p>
      <w:pPr>
        <w:pStyle w:val="ListBullet"/>
        <w:ind w:left="360"/>
      </w:pPr>
      <w:r>
        <w:rPr>
          <w:rFonts w:ascii="Arial" w:hAnsi="Arial"/>
          <w:sz w:val="22"/>
        </w:rPr>
        <w:t>Commodity Price Listing (UC2) — discovery-only lookup of commodity market prices from APMC mandis, with geographic and date-range filtering. There is no order lifecycle; price data is always freely accessible.</w:t>
      </w:r>
    </w:p>
    <w:p>
      <w:pPr>
        <w:pStyle w:val="ListBullet"/>
        <w:ind w:left="360"/>
      </w:pPr>
      <w:r>
        <w:rPr>
          <w:rFonts w:ascii="Arial" w:hAnsi="Arial"/>
          <w:sz w:val="22"/>
        </w:rPr>
        <w:t>Weather Forecast Data (UC3) — discovery and purchase of paid weather intelligence products, including hyperlocal forecasts, seasonal outlooks, and agro-advisories from private and government weather providers.</w:t>
      </w:r>
    </w:p>
    <w:p/>
    <w:p>
      <w:r>
        <w:rPr>
          <w:rFonts w:ascii="Arial" w:hAnsi="Arial"/>
          <w:b w:val="0"/>
          <w:i w:val="0"/>
          <w:sz w:val="22"/>
        </w:rPr>
        <w:t>Each use case has a different order lifecycle and different schema semantics. UC1 supports both free (discover-only) and paid (full lifecycle) advisories. UC2 is discover-only. UC3 follows the full transactional lifecycle from discover through fulfilment and cancellation.</w:t>
      </w:r>
    </w:p>
    <w:p>
      <w:pPr>
        <w:shd w:val="clear" w:color="auto" w:fill="FFF9C4"/>
        <w:ind w:left="288" w:right="288"/>
      </w:pPr>
      <w:r>
        <w:rPr>
          <w:b/>
          <w:sz w:val="20"/>
        </w:rPr>
        <w:t xml:space="preserve">Domain Code: </w:t>
      </w:r>
      <w:r>
        <w:rPr>
          <w:sz w:val="20"/>
        </w:rPr>
        <w:t>advisory:agri (v2). This replaces advisory:uki used in Beckn v1 implementations. All new implementations must use advisory:agri.</w:t>
      </w:r>
    </w:p>
    <w:p/>
    <w:p>
      <w:r>
        <w:rPr>
          <w:rFonts w:ascii="Arial" w:hAnsi="Arial"/>
          <w:b w:val="0"/>
          <w:i w:val="0"/>
          <w:sz w:val="22"/>
        </w:rPr>
        <w:t>This guide assumes familiarity with the Beckn Protocol core concepts (BAP, BPP, Registry, Gateway, asynchronous message flow). Developers new to Beckn should first review the official Beckn documentation at https://becknprotocol.io.</w:t>
      </w:r>
    </w:p>
    <w:p>
      <w:pPr>
        <w:pStyle w:val="Heading1"/>
      </w:pPr>
      <w:r>
        <w:t>3. Network Roles</w:t>
      </w:r>
    </w:p>
    <w:p>
      <w:r>
        <w:rPr>
          <w:rFonts w:ascii="Arial" w:hAnsi="Arial"/>
          <w:b w:val="0"/>
          <w:i w:val="0"/>
          <w:sz w:val="22"/>
        </w:rPr>
        <w:t>The advisory:agri network involves the following participants:</w:t>
      </w:r>
    </w:p>
    <w:p>
      <w:pPr>
        <w:pStyle w:val="Heading2"/>
      </w:pPr>
      <w:r>
        <w:t>3.1 Buyer App Platform (BAP)</w:t>
      </w:r>
    </w:p>
    <w:p>
      <w:r>
        <w:rPr>
          <w:rFonts w:ascii="Arial" w:hAnsi="Arial"/>
          <w:b w:val="0"/>
          <w:i w:val="0"/>
          <w:sz w:val="22"/>
        </w:rPr>
        <w:t>The BAP is the farmer-facing application that initiates requests on behalf of the user. It translates user interactions into Beckn API calls and renders the returned catalog to the farmer. BAP implementations in the agri advisory domain include:</w:t>
      </w:r>
    </w:p>
    <w:p>
      <w:pPr>
        <w:pStyle w:val="ListBullet"/>
        <w:ind w:left="360"/>
      </w:pPr>
      <w:r>
        <w:rPr>
          <w:rFonts w:ascii="Arial" w:hAnsi="Arial"/>
          <w:sz w:val="22"/>
        </w:rPr>
        <w:t>Mobile applications (Android/iOS) for farmers in rural India</w:t>
      </w:r>
    </w:p>
    <w:p>
      <w:pPr>
        <w:pStyle w:val="ListBullet"/>
        <w:ind w:left="360"/>
      </w:pPr>
      <w:r>
        <w:rPr>
          <w:rFonts w:ascii="Arial" w:hAnsi="Arial"/>
          <w:sz w:val="22"/>
        </w:rPr>
        <w:t>WhatsApp bots and IVR systems supporting vernacular languages (Marathi, Hindi, Kannada, Tamil, Telugu, etc.)</w:t>
      </w:r>
    </w:p>
    <w:p>
      <w:pPr>
        <w:pStyle w:val="ListBullet"/>
        <w:ind w:left="360"/>
      </w:pPr>
      <w:r>
        <w:rPr>
          <w:rFonts w:ascii="Arial" w:hAnsi="Arial"/>
          <w:sz w:val="22"/>
        </w:rPr>
        <w:t>Kisan Call Centre (KCC) portals for agent-assisted advisory</w:t>
      </w:r>
    </w:p>
    <w:p>
      <w:pPr>
        <w:pStyle w:val="ListBullet"/>
        <w:ind w:left="360"/>
      </w:pPr>
      <w:r>
        <w:rPr>
          <w:rFonts w:ascii="Arial" w:hAnsi="Arial"/>
          <w:sz w:val="22"/>
        </w:rPr>
        <w:t>Agri-extension platform portals used by field extension officers</w:t>
      </w:r>
    </w:p>
    <w:p>
      <w:r>
        <w:rPr>
          <w:rFonts w:ascii="Arial" w:hAnsi="Arial"/>
          <w:b w:val="0"/>
          <w:i w:val="0"/>
          <w:sz w:val="22"/>
        </w:rPr>
        <w:t>For UC1, the BAP initiates discover and optionally drives the full order lifecycle for paid content. For UC2, the BAP only initiates discover. For UC3, the BAP drives the full order lifecycle including payment confirmation and status polling.</w:t>
      </w:r>
    </w:p>
    <w:p>
      <w:pPr>
        <w:pStyle w:val="Heading2"/>
      </w:pPr>
      <w:r>
        <w:t>3.2 Advisory Provider Platform (BPP — UC1)</w:t>
      </w:r>
    </w:p>
    <w:p>
      <w:r>
        <w:rPr>
          <w:rFonts w:ascii="Arial" w:hAnsi="Arial"/>
          <w:b w:val="0"/>
          <w:i w:val="0"/>
          <w:sz w:val="22"/>
        </w:rPr>
        <w:t>Provides catalogued crop and disease advisory content. Typical participants include government agricultural research institutions (ICAR, state agricultural universities), AgriTech companies providing curated advisory services, and NGOs or FPOs delivering localised crop guidance. For free advisories, the BPP returns content URLs directly in the on_discover response. For paid advisories, it supports the full select → init → confirm → status lifecycle.</w:t>
      </w:r>
    </w:p>
    <w:p>
      <w:pPr>
        <w:pStyle w:val="Heading2"/>
      </w:pPr>
      <w:r>
        <w:t>3.3 Price Data Provider Platform (BPP — UC2)</w:t>
      </w:r>
    </w:p>
    <w:p>
      <w:r>
        <w:rPr>
          <w:rFonts w:ascii="Arial" w:hAnsi="Arial"/>
          <w:b w:val="0"/>
          <w:i w:val="0"/>
          <w:sz w:val="22"/>
        </w:rPr>
        <w:t>Provides commodity market price data aggregated from APMC mandis, e-NAM, NHB, and similar sources. Typical participants include AGMARKNET data aggregators, state agricultural marketing boards, and commodity intelligence platforms. The BPP handles only discover and on_discover — there is no transactional flow for price data.</w:t>
      </w:r>
    </w:p>
    <w:p>
      <w:pPr>
        <w:pStyle w:val="Heading2"/>
      </w:pPr>
      <w:r>
        <w:t>3.4 Weather Data Provider Platform (BPP — UC3)</w:t>
      </w:r>
    </w:p>
    <w:p>
      <w:r>
        <w:rPr>
          <w:rFonts w:ascii="Arial" w:hAnsi="Arial"/>
          <w:b w:val="0"/>
          <w:i w:val="0"/>
          <w:sz w:val="22"/>
        </w:rPr>
        <w:t>Provides paid weather intelligence products including hyperlocal forecasts, seasonal outlooks, and agro-advisories. Typical participants include IMD-accredited private weather companies (e.g., Skymet, Amicus, Fasal), precision agriculture platforms with embedded weather services, and government weather agencies. The BPP supports the full transactional lifecycle including cancellation and refund policies.</w:t>
      </w:r>
    </w:p>
    <w:p>
      <w:pPr>
        <w:pStyle w:val="Heading2"/>
      </w:pPr>
      <w:r>
        <w:t>3.5 Network Infrastructure</w:t>
      </w:r>
    </w:p>
    <w:p>
      <w:r>
        <w:rPr>
          <w:rFonts w:ascii="Arial" w:hAnsi="Arial"/>
          <w:b w:val="0"/>
          <w:i w:val="0"/>
          <w:sz w:val="22"/>
        </w:rPr>
        <w:t>Beckn provides a set of ready-to-use infrastructure services that form the operational baseline for any Beckn-enabled network. These services are composable and can be adopted incrementally. Network operators may use them as-is, extend them, or layer additional value-added services on top — such as sector-specific discovery engines, analytics platforms, or data pipelines — as their network requirements evolve.</w:t>
      </w:r>
    </w:p>
    <w:p>
      <w:pPr>
        <w:pStyle w:val="Heading3"/>
      </w:pPr>
      <w:r>
        <w:t>3.5.1 Beckn-ONIX</w:t>
      </w:r>
    </w:p>
    <w:p>
      <w:r>
        <w:rPr>
          <w:rFonts w:ascii="Arial" w:hAnsi="Arial"/>
          <w:b w:val="0"/>
          <w:i w:val="0"/>
          <w:sz w:val="22"/>
        </w:rPr>
        <w:t>Participant-side runtime for schema validation, signature creation and verification, and protocol compliance enforcement. Deployed by each network participant (BAP, BPP, or third-party operator); removes the need to implement Beckn protocol logic from scratch.</w:t>
      </w:r>
    </w:p>
    <w:p>
      <w:pPr>
        <w:pStyle w:val="Heading3"/>
      </w:pPr>
      <w:r>
        <w:t>3.5.2 Beckn CATALG</w:t>
      </w:r>
    </w:p>
    <w:p>
      <w:r>
        <w:rPr>
          <w:rFonts w:ascii="Arial" w:hAnsi="Arial"/>
          <w:b w:val="0"/>
          <w:i w:val="0"/>
          <w:sz w:val="22"/>
        </w:rPr>
        <w:t>Catalogue publishing and governance infrastructure. Supports push and pull ingestion, real-time synchronisation, schema-compliant validation, and versioned audit trails — ensuring only governed, structured catalogue data enters the network.</w:t>
      </w:r>
    </w:p>
    <w:p>
      <w:pPr>
        <w:pStyle w:val="Heading3"/>
      </w:pPr>
      <w:r>
        <w:t>3.5.3 Transaction Proof Ledger</w:t>
      </w:r>
    </w:p>
    <w:p>
      <w:r>
        <w:rPr>
          <w:rFonts w:ascii="Arial" w:hAnsi="Arial"/>
          <w:b w:val="0"/>
          <w:i w:val="0"/>
          <w:sz w:val="22"/>
        </w:rPr>
        <w:t>Tamper-evident journal of cryptographic event proofs (not full payloads). Enables non-repudiation, SLA auditing, and objective dispute resolution.</w:t>
      </w:r>
    </w:p>
    <w:p>
      <w:pPr>
        <w:pStyle w:val="Heading3"/>
      </w:pPr>
      <w:r>
        <w:t>3.5.4 Registry Services</w:t>
      </w:r>
    </w:p>
    <w:p>
      <w:r>
        <w:rPr>
          <w:rFonts w:ascii="Arial" w:hAnsi="Arial"/>
          <w:b w:val="0"/>
          <w:i w:val="0"/>
          <w:sz w:val="22"/>
        </w:rPr>
        <w:t>Two cloud-hosted registries: the Schema Registry (Protocol 2.0 core schemas, domain extensions, version and deprecation rules) and the Participant Registry (verified identities, public keys, authorised endpoints, accreditation status). Both are required for participant onboarding and interoperability.</w:t>
      </w:r>
    </w:p>
    <w:p>
      <w:pPr>
        <w:pStyle w:val="Heading3"/>
      </w:pPr>
      <w:r>
        <w:t>3.5.5 Verifiable Credentials Infrastructure</w:t>
      </w:r>
    </w:p>
    <w:p>
      <w:r>
        <w:rPr>
          <w:rFonts w:ascii="Arial" w:hAnsi="Arial"/>
          <w:b w:val="0"/>
          <w:i w:val="0"/>
          <w:sz w:val="22"/>
        </w:rPr>
        <w:t>Issuance and verification of cryptographic proofs for transactions, participation status, and trust signals (ratings, compliance histories). Extensible to sectoral accreditation and revocation workflows.</w:t>
      </w:r>
    </w:p>
    <w:p>
      <w:r>
        <w:rPr>
          <w:rFonts w:ascii="Arial" w:hAnsi="Arial"/>
          <w:b w:val="0"/>
          <w:i w:val="0"/>
          <w:sz w:val="22"/>
        </w:rPr>
        <w:t>Full documentation for all Beckn infrastructure services is available at https://docs.beckn.io.</w:t>
      </w:r>
    </w:p>
    <w:p>
      <w:pPr>
        <w:pStyle w:val="Heading1"/>
      </w:pPr>
      <w:r>
        <w:t>4. Catalogue Taxonomy</w:t>
      </w:r>
    </w:p>
    <w:p>
      <w:r>
        <w:rPr>
          <w:rFonts w:ascii="Arial" w:hAnsi="Arial"/>
          <w:b w:val="0"/>
          <w:i w:val="0"/>
          <w:sz w:val="22"/>
        </w:rPr>
        <w:t>The advisory:agri domain uses three top-level category codes that BPPs must use to classify their items and that BAPs use to filter search results. The category code is carried in the Beckn Category entity's descriptor.code field.</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5C99"/>
          </w:tcPr>
          <w:p>
            <w:pPr>
              <w:jc w:val="center"/>
            </w:pPr>
            <w:r>
              <w:rPr>
                <w:rFonts w:ascii="Arial" w:hAnsi="Arial"/>
                <w:b/>
                <w:color w:val="FFFFFF"/>
                <w:sz w:val="20"/>
              </w:rPr>
              <w:t>Category Code</w:t>
            </w:r>
          </w:p>
        </w:tc>
        <w:tc>
          <w:tcPr>
            <w:tcW w:type="dxa" w:w="1417"/>
            <w:shd w:val="clear" w:color="auto" w:fill="1F5C99"/>
          </w:tcPr>
          <w:p>
            <w:pPr>
              <w:jc w:val="center"/>
            </w:pPr>
            <w:r>
              <w:rPr>
                <w:rFonts w:ascii="Arial" w:hAnsi="Arial"/>
                <w:b/>
                <w:color w:val="FFFFFF"/>
                <w:sz w:val="20"/>
              </w:rPr>
              <w:t>Use Case</w:t>
            </w:r>
          </w:p>
        </w:tc>
        <w:tc>
          <w:tcPr>
            <w:tcW w:type="dxa" w:w="5669"/>
            <w:shd w:val="clear" w:color="auto" w:fill="1F5C99"/>
          </w:tcPr>
          <w:p>
            <w:pPr>
              <w:jc w:val="center"/>
            </w:pPr>
            <w:r>
              <w:rPr>
                <w:rFonts w:ascii="Arial" w:hAnsi="Arial"/>
                <w:b/>
                <w:color w:val="FFFFFF"/>
                <w:sz w:val="20"/>
              </w:rPr>
              <w:t>Description</w:t>
            </w:r>
          </w:p>
        </w:tc>
      </w:tr>
      <w:tr>
        <w:tc>
          <w:tcPr>
            <w:tcW w:type="dxa" w:w="2551"/>
            <w:shd w:val="clear" w:color="auto" w:fill="EBF3FB"/>
          </w:tcPr>
          <w:p>
            <w:r>
              <w:rPr>
                <w:rFonts w:ascii="Arial" w:hAnsi="Arial"/>
                <w:sz w:val="20"/>
              </w:rPr>
              <w:t>Crop-Advisory</w:t>
            </w:r>
          </w:p>
        </w:tc>
        <w:tc>
          <w:tcPr>
            <w:tcW w:type="dxa" w:w="1417"/>
            <w:shd w:val="clear" w:color="auto" w:fill="EBF3FB"/>
          </w:tcPr>
          <w:p>
            <w:r>
              <w:rPr>
                <w:rFonts w:ascii="Arial" w:hAnsi="Arial"/>
                <w:sz w:val="20"/>
              </w:rPr>
              <w:t>UC1</w:t>
            </w:r>
          </w:p>
        </w:tc>
        <w:tc>
          <w:tcPr>
            <w:tcW w:type="dxa" w:w="5669"/>
            <w:shd w:val="clear" w:color="auto" w:fill="EBF3FB"/>
          </w:tcPr>
          <w:p>
            <w:r>
              <w:rPr>
                <w:rFonts w:ascii="Arial" w:hAnsi="Arial"/>
                <w:sz w:val="20"/>
              </w:rPr>
              <w:t>Crop and disease advisory content: disease control, spray schedules, pest forecasts, general advisory</w:t>
            </w:r>
          </w:p>
        </w:tc>
      </w:tr>
      <w:tr>
        <w:tc>
          <w:tcPr>
            <w:tcW w:type="dxa" w:w="2551"/>
          </w:tcPr>
          <w:p>
            <w:r>
              <w:rPr>
                <w:rFonts w:ascii="Arial" w:hAnsi="Arial"/>
                <w:sz w:val="20"/>
              </w:rPr>
              <w:t>Commodity-Price</w:t>
            </w:r>
          </w:p>
        </w:tc>
        <w:tc>
          <w:tcPr>
            <w:tcW w:type="dxa" w:w="1417"/>
          </w:tcPr>
          <w:p>
            <w:r>
              <w:rPr>
                <w:rFonts w:ascii="Arial" w:hAnsi="Arial"/>
                <w:sz w:val="20"/>
              </w:rPr>
              <w:t>UC2</w:t>
            </w:r>
          </w:p>
        </w:tc>
        <w:tc>
          <w:tcPr>
            <w:tcW w:type="dxa" w:w="5669"/>
          </w:tcPr>
          <w:p>
            <w:r>
              <w:rPr>
                <w:rFonts w:ascii="Arial" w:hAnsi="Arial"/>
                <w:sz w:val="20"/>
              </w:rPr>
              <w:t>Commodity market price listings from APMC mandis and national price platforms</w:t>
            </w:r>
          </w:p>
        </w:tc>
      </w:tr>
      <w:tr>
        <w:tc>
          <w:tcPr>
            <w:tcW w:type="dxa" w:w="2551"/>
            <w:shd w:val="clear" w:color="auto" w:fill="EBF3FB"/>
          </w:tcPr>
          <w:p>
            <w:r>
              <w:rPr>
                <w:rFonts w:ascii="Arial" w:hAnsi="Arial"/>
                <w:sz w:val="20"/>
              </w:rPr>
              <w:t>Weather-Forecast</w:t>
            </w:r>
          </w:p>
        </w:tc>
        <w:tc>
          <w:tcPr>
            <w:tcW w:type="dxa" w:w="1417"/>
            <w:shd w:val="clear" w:color="auto" w:fill="EBF3FB"/>
          </w:tcPr>
          <w:p>
            <w:r>
              <w:rPr>
                <w:rFonts w:ascii="Arial" w:hAnsi="Arial"/>
                <w:sz w:val="20"/>
              </w:rPr>
              <w:t>UC3</w:t>
            </w:r>
          </w:p>
        </w:tc>
        <w:tc>
          <w:tcPr>
            <w:tcW w:type="dxa" w:w="5669"/>
            <w:shd w:val="clear" w:color="auto" w:fill="EBF3FB"/>
          </w:tcPr>
          <w:p>
            <w:r>
              <w:rPr>
                <w:rFonts w:ascii="Arial" w:hAnsi="Arial"/>
                <w:sz w:val="20"/>
              </w:rPr>
              <w:t>Paid weather intelligence products: hyperlocal forecasts, seasonal outlooks, agro-advisories</w:t>
            </w:r>
          </w:p>
        </w:tc>
      </w:tr>
    </w:tbl>
    <w:p/>
    <w:p>
      <w:r>
        <w:rPr>
          <w:rFonts w:ascii="Arial" w:hAnsi="Arial"/>
          <w:b w:val="0"/>
          <w:i w:val="0"/>
          <w:sz w:val="22"/>
        </w:rPr>
        <w:t>BAPs may omit the category filter in discover to retrieve all advisory content types from a given provider. BPPs must always include the appropriate category on each item in the on_discover response.</w:t>
      </w:r>
    </w:p>
    <w:p>
      <w:pPr>
        <w:pStyle w:val="Heading1"/>
      </w:pPr>
      <w:r>
        <w:t>5. Information Model</w:t>
      </w:r>
    </w:p>
    <w:p>
      <w:pPr>
        <w:pStyle w:val="Heading2"/>
      </w:pPr>
      <w:r>
        <w:t>5.1 Schema Model</w:t>
      </w:r>
    </w:p>
    <w:p>
      <w:r>
        <w:rPr>
          <w:rFonts w:ascii="Arial" w:hAnsi="Arial"/>
          <w:b w:val="0"/>
          <w:i w:val="0"/>
          <w:sz w:val="22"/>
        </w:rPr>
        <w:t>The advisory:agri domain extends the Beckn v2 core model with six extension schemas across three containers. Each container attaches to a specific Beckn entity:</w:t>
      </w:r>
    </w:p>
    <w:p>
      <w:pPr>
        <w:pStyle w:val="ListBullet"/>
        <w:ind w:left="360"/>
      </w:pPr>
      <w:r>
        <w:rPr>
          <w:rFonts w:ascii="Arial" w:hAnsi="Arial"/>
          <w:sz w:val="22"/>
        </w:rPr>
        <w:t>itemAttributes — attached to each Item in the catalog, carrying content-specific descriptors.</w:t>
      </w:r>
    </w:p>
    <w:p>
      <w:pPr>
        <w:pStyle w:val="ListBullet"/>
        <w:ind w:left="360"/>
      </w:pPr>
      <w:r>
        <w:rPr>
          <w:rFonts w:ascii="Arial" w:hAnsi="Arial"/>
          <w:sz w:val="22"/>
        </w:rPr>
        <w:t>offerAttributes — attached to each Offer, carrying commercial policy metadata.</w:t>
      </w:r>
    </w:p>
    <w:p>
      <w:pPr>
        <w:pStyle w:val="ListBullet"/>
        <w:ind w:left="360"/>
      </w:pPr>
      <w:r>
        <w:rPr>
          <w:rFonts w:ascii="Arial" w:hAnsi="Arial"/>
          <w:sz w:val="22"/>
        </w:rPr>
        <w:t>fulfillmentAttributes — attached to each Fulfillment, carrying delivery mode and geographic context.</w:t>
      </w:r>
    </w:p>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3118"/>
            <w:shd w:val="clear" w:color="auto" w:fill="1F5C99"/>
          </w:tcPr>
          <w:p>
            <w:pPr>
              <w:jc w:val="center"/>
            </w:pPr>
            <w:r>
              <w:rPr>
                <w:rFonts w:ascii="Arial" w:hAnsi="Arial"/>
                <w:b/>
                <w:color w:val="FFFFFF"/>
                <w:sz w:val="20"/>
              </w:rPr>
              <w:t>Schema</w:t>
            </w:r>
          </w:p>
        </w:tc>
        <w:tc>
          <w:tcPr>
            <w:tcW w:type="dxa" w:w="1984"/>
            <w:shd w:val="clear" w:color="auto" w:fill="1F5C99"/>
          </w:tcPr>
          <w:p>
            <w:pPr>
              <w:jc w:val="center"/>
            </w:pPr>
            <w:r>
              <w:rPr>
                <w:rFonts w:ascii="Arial" w:hAnsi="Arial"/>
                <w:b/>
                <w:color w:val="FFFFFF"/>
                <w:sz w:val="20"/>
              </w:rPr>
              <w:t>Container</w:t>
            </w:r>
          </w:p>
        </w:tc>
        <w:tc>
          <w:tcPr>
            <w:tcW w:type="dxa" w:w="1417"/>
            <w:shd w:val="clear" w:color="auto" w:fill="1F5C99"/>
          </w:tcPr>
          <w:p>
            <w:pPr>
              <w:jc w:val="center"/>
            </w:pPr>
            <w:r>
              <w:rPr>
                <w:rFonts w:ascii="Arial" w:hAnsi="Arial"/>
                <w:b/>
                <w:color w:val="FFFFFF"/>
                <w:sz w:val="20"/>
              </w:rPr>
              <w:t>Use Case</w:t>
            </w:r>
          </w:p>
        </w:tc>
        <w:tc>
          <w:tcPr>
            <w:tcW w:type="dxa" w:w="1701"/>
            <w:shd w:val="clear" w:color="auto" w:fill="1F5C99"/>
          </w:tcPr>
          <w:p>
            <w:pPr>
              <w:jc w:val="center"/>
            </w:pPr>
            <w:r>
              <w:rPr>
                <w:rFonts w:ascii="Arial" w:hAnsi="Arial"/>
                <w:b/>
                <w:color w:val="FFFFFF"/>
                <w:sz w:val="20"/>
              </w:rPr>
              <w:t>Namespace Prefix</w:t>
            </w:r>
          </w:p>
        </w:tc>
        <w:tc>
          <w:tcPr>
            <w:tcW w:type="dxa" w:w="3402"/>
            <w:shd w:val="clear" w:color="auto" w:fill="1F5C99"/>
          </w:tcPr>
          <w:p>
            <w:pPr>
              <w:jc w:val="center"/>
            </w:pPr>
            <w:r>
              <w:rPr>
                <w:rFonts w:ascii="Arial" w:hAnsi="Arial"/>
                <w:b/>
                <w:color w:val="FFFFFF"/>
                <w:sz w:val="20"/>
              </w:rPr>
              <w:t>Key Purpose</w:t>
            </w:r>
          </w:p>
        </w:tc>
      </w:tr>
      <w:tr>
        <w:tc>
          <w:tcPr>
            <w:tcW w:type="dxa" w:w="3118"/>
            <w:shd w:val="clear" w:color="auto" w:fill="EBF3FB"/>
          </w:tcPr>
          <w:p>
            <w:r>
              <w:rPr>
                <w:rFonts w:ascii="Arial" w:hAnsi="Arial"/>
                <w:sz w:val="20"/>
              </w:rPr>
              <w:t>CropAdvisoryItemAttributes</w:t>
            </w:r>
          </w:p>
        </w:tc>
        <w:tc>
          <w:tcPr>
            <w:tcW w:type="dxa" w:w="1984"/>
            <w:shd w:val="clear" w:color="auto" w:fill="EBF3FB"/>
          </w:tcPr>
          <w:p>
            <w:r>
              <w:rPr>
                <w:rFonts w:ascii="Arial" w:hAnsi="Arial"/>
                <w:sz w:val="20"/>
              </w:rPr>
              <w:t>itemAttributes</w:t>
            </w:r>
          </w:p>
        </w:tc>
        <w:tc>
          <w:tcPr>
            <w:tcW w:type="dxa" w:w="1417"/>
            <w:shd w:val="clear" w:color="auto" w:fill="EBF3FB"/>
          </w:tcPr>
          <w:p>
            <w:r>
              <w:rPr>
                <w:rFonts w:ascii="Arial" w:hAnsi="Arial"/>
                <w:sz w:val="20"/>
              </w:rPr>
              <w:t>UC1</w:t>
            </w:r>
          </w:p>
        </w:tc>
        <w:tc>
          <w:tcPr>
            <w:tcW w:type="dxa" w:w="1701"/>
            <w:shd w:val="clear" w:color="auto" w:fill="EBF3FB"/>
          </w:tcPr>
          <w:p>
            <w:r>
              <w:rPr>
                <w:rFonts w:ascii="Arial" w:hAnsi="Arial"/>
                <w:sz w:val="20"/>
              </w:rPr>
              <w:t>caia:</w:t>
            </w:r>
          </w:p>
        </w:tc>
        <w:tc>
          <w:tcPr>
            <w:tcW w:type="dxa" w:w="3402"/>
            <w:shd w:val="clear" w:color="auto" w:fill="EBF3FB"/>
          </w:tcPr>
          <w:p>
            <w:r>
              <w:rPr>
                <w:rFonts w:ascii="Arial" w:hAnsi="Arial"/>
                <w:sz w:val="20"/>
              </w:rPr>
              <w:t>Advisory category, content type, crop context, expert credentials</w:t>
            </w:r>
          </w:p>
        </w:tc>
      </w:tr>
      <w:tr>
        <w:tc>
          <w:tcPr>
            <w:tcW w:type="dxa" w:w="3118"/>
          </w:tcPr>
          <w:p>
            <w:r>
              <w:rPr>
                <w:rFonts w:ascii="Arial" w:hAnsi="Arial"/>
                <w:sz w:val="20"/>
              </w:rPr>
              <w:t>CommodityPriceItemAttributes</w:t>
            </w:r>
          </w:p>
        </w:tc>
        <w:tc>
          <w:tcPr>
            <w:tcW w:type="dxa" w:w="1984"/>
          </w:tcPr>
          <w:p>
            <w:r>
              <w:rPr>
                <w:rFonts w:ascii="Arial" w:hAnsi="Arial"/>
                <w:sz w:val="20"/>
              </w:rPr>
              <w:t>itemAttributes</w:t>
            </w:r>
          </w:p>
        </w:tc>
        <w:tc>
          <w:tcPr>
            <w:tcW w:type="dxa" w:w="1417"/>
          </w:tcPr>
          <w:p>
            <w:r>
              <w:rPr>
                <w:rFonts w:ascii="Arial" w:hAnsi="Arial"/>
                <w:sz w:val="20"/>
              </w:rPr>
              <w:t>UC2</w:t>
            </w:r>
          </w:p>
        </w:tc>
        <w:tc>
          <w:tcPr>
            <w:tcW w:type="dxa" w:w="1701"/>
          </w:tcPr>
          <w:p>
            <w:r>
              <w:rPr>
                <w:rFonts w:ascii="Arial" w:hAnsi="Arial"/>
                <w:sz w:val="20"/>
              </w:rPr>
              <w:t>cpia:</w:t>
            </w:r>
          </w:p>
        </w:tc>
        <w:tc>
          <w:tcPr>
            <w:tcW w:type="dxa" w:w="3402"/>
          </w:tcPr>
          <w:p>
            <w:r>
              <w:rPr>
                <w:rFonts w:ascii="Arial" w:hAnsi="Arial"/>
                <w:sz w:val="20"/>
              </w:rPr>
              <w:t>Commodity name, variety, grade, mandi details, observation period</w:t>
            </w:r>
          </w:p>
        </w:tc>
      </w:tr>
      <w:tr>
        <w:tc>
          <w:tcPr>
            <w:tcW w:type="dxa" w:w="3118"/>
            <w:shd w:val="clear" w:color="auto" w:fill="EBF3FB"/>
          </w:tcPr>
          <w:p>
            <w:r>
              <w:rPr>
                <w:rFonts w:ascii="Arial" w:hAnsi="Arial"/>
                <w:sz w:val="20"/>
              </w:rPr>
              <w:t>WeatherForecastItemAttributes</w:t>
            </w:r>
          </w:p>
        </w:tc>
        <w:tc>
          <w:tcPr>
            <w:tcW w:type="dxa" w:w="1984"/>
            <w:shd w:val="clear" w:color="auto" w:fill="EBF3FB"/>
          </w:tcPr>
          <w:p>
            <w:r>
              <w:rPr>
                <w:rFonts w:ascii="Arial" w:hAnsi="Arial"/>
                <w:sz w:val="20"/>
              </w:rPr>
              <w:t>itemAttributes</w:t>
            </w:r>
          </w:p>
        </w:tc>
        <w:tc>
          <w:tcPr>
            <w:tcW w:type="dxa" w:w="1417"/>
            <w:shd w:val="clear" w:color="auto" w:fill="EBF3FB"/>
          </w:tcPr>
          <w:p>
            <w:r>
              <w:rPr>
                <w:rFonts w:ascii="Arial" w:hAnsi="Arial"/>
                <w:sz w:val="20"/>
              </w:rPr>
              <w:t>UC3</w:t>
            </w:r>
          </w:p>
        </w:tc>
        <w:tc>
          <w:tcPr>
            <w:tcW w:type="dxa" w:w="1701"/>
            <w:shd w:val="clear" w:color="auto" w:fill="EBF3FB"/>
          </w:tcPr>
          <w:p>
            <w:r>
              <w:rPr>
                <w:rFonts w:ascii="Arial" w:hAnsi="Arial"/>
                <w:sz w:val="20"/>
              </w:rPr>
              <w:t>wfia:</w:t>
            </w:r>
          </w:p>
        </w:tc>
        <w:tc>
          <w:tcPr>
            <w:tcW w:type="dxa" w:w="3402"/>
            <w:shd w:val="clear" w:color="auto" w:fill="EBF3FB"/>
          </w:tcPr>
          <w:p>
            <w:r>
              <w:rPr>
                <w:rFonts w:ascii="Arial" w:hAnsi="Arial"/>
                <w:sz w:val="20"/>
              </w:rPr>
              <w:t>Forecast type, duration, resolution, data points, coverage area codes</w:t>
            </w:r>
          </w:p>
        </w:tc>
      </w:tr>
      <w:tr>
        <w:tc>
          <w:tcPr>
            <w:tcW w:type="dxa" w:w="3118"/>
          </w:tcPr>
          <w:p>
            <w:r>
              <w:rPr>
                <w:rFonts w:ascii="Arial" w:hAnsi="Arial"/>
                <w:sz w:val="20"/>
              </w:rPr>
              <w:t>AgriAdvisoryOfferAttributes</w:t>
            </w:r>
          </w:p>
        </w:tc>
        <w:tc>
          <w:tcPr>
            <w:tcW w:type="dxa" w:w="1984"/>
          </w:tcPr>
          <w:p>
            <w:r>
              <w:rPr>
                <w:rFonts w:ascii="Arial" w:hAnsi="Arial"/>
                <w:sz w:val="20"/>
              </w:rPr>
              <w:t>offerAttributes</w:t>
            </w:r>
          </w:p>
        </w:tc>
        <w:tc>
          <w:tcPr>
            <w:tcW w:type="dxa" w:w="1417"/>
          </w:tcPr>
          <w:p>
            <w:r>
              <w:rPr>
                <w:rFonts w:ascii="Arial" w:hAnsi="Arial"/>
                <w:sz w:val="20"/>
              </w:rPr>
              <w:t>UC1+UC3</w:t>
            </w:r>
          </w:p>
        </w:tc>
        <w:tc>
          <w:tcPr>
            <w:tcW w:type="dxa" w:w="1701"/>
          </w:tcPr>
          <w:p>
            <w:r>
              <w:rPr>
                <w:rFonts w:ascii="Arial" w:hAnsi="Arial"/>
                <w:sz w:val="20"/>
              </w:rPr>
              <w:t>aaoa:</w:t>
            </w:r>
          </w:p>
        </w:tc>
        <w:tc>
          <w:tcPr>
            <w:tcW w:type="dxa" w:w="3402"/>
          </w:tcPr>
          <w:p>
            <w:r>
              <w:rPr>
                <w:rFonts w:ascii="Arial" w:hAnsi="Arial"/>
                <w:sz w:val="20"/>
              </w:rPr>
              <w:t>Pricing model, access type, content license, cancellation policy</w:t>
            </w:r>
          </w:p>
        </w:tc>
      </w:tr>
      <w:tr>
        <w:tc>
          <w:tcPr>
            <w:tcW w:type="dxa" w:w="3118"/>
            <w:shd w:val="clear" w:color="auto" w:fill="EBF3FB"/>
          </w:tcPr>
          <w:p>
            <w:r>
              <w:rPr>
                <w:rFonts w:ascii="Arial" w:hAnsi="Arial"/>
                <w:sz w:val="20"/>
              </w:rPr>
              <w:t>CommodityMarketOfferAttributes</w:t>
            </w:r>
          </w:p>
        </w:tc>
        <w:tc>
          <w:tcPr>
            <w:tcW w:type="dxa" w:w="1984"/>
            <w:shd w:val="clear" w:color="auto" w:fill="EBF3FB"/>
          </w:tcPr>
          <w:p>
            <w:r>
              <w:rPr>
                <w:rFonts w:ascii="Arial" w:hAnsi="Arial"/>
                <w:sz w:val="20"/>
              </w:rPr>
              <w:t>offerAttributes</w:t>
            </w:r>
          </w:p>
        </w:tc>
        <w:tc>
          <w:tcPr>
            <w:tcW w:type="dxa" w:w="1417"/>
            <w:shd w:val="clear" w:color="auto" w:fill="EBF3FB"/>
          </w:tcPr>
          <w:p>
            <w:r>
              <w:rPr>
                <w:rFonts w:ascii="Arial" w:hAnsi="Arial"/>
                <w:sz w:val="20"/>
              </w:rPr>
              <w:t>UC2</w:t>
            </w:r>
          </w:p>
        </w:tc>
        <w:tc>
          <w:tcPr>
            <w:tcW w:type="dxa" w:w="1701"/>
            <w:shd w:val="clear" w:color="auto" w:fill="EBF3FB"/>
          </w:tcPr>
          <w:p>
            <w:r>
              <w:rPr>
                <w:rFonts w:ascii="Arial" w:hAnsi="Arial"/>
                <w:sz w:val="20"/>
              </w:rPr>
              <w:t>cmoa:</w:t>
            </w:r>
          </w:p>
        </w:tc>
        <w:tc>
          <w:tcPr>
            <w:tcW w:type="dxa" w:w="3402"/>
            <w:shd w:val="clear" w:color="auto" w:fill="EBF3FB"/>
          </w:tcPr>
          <w:p>
            <w:r>
              <w:rPr>
                <w:rFonts w:ascii="Arial" w:hAnsi="Arial"/>
                <w:sz w:val="20"/>
              </w:rPr>
              <w:t>Min/max/average mandi price, unit of measure, volatility, arrivals</w:t>
            </w:r>
          </w:p>
        </w:tc>
      </w:tr>
      <w:tr>
        <w:tc>
          <w:tcPr>
            <w:tcW w:type="dxa" w:w="3118"/>
          </w:tcPr>
          <w:p>
            <w:r>
              <w:rPr>
                <w:rFonts w:ascii="Arial" w:hAnsi="Arial"/>
                <w:sz w:val="20"/>
              </w:rPr>
              <w:t>AgriAdvisoryFulfillmentAttributes</w:t>
            </w:r>
          </w:p>
        </w:tc>
        <w:tc>
          <w:tcPr>
            <w:tcW w:type="dxa" w:w="1984"/>
          </w:tcPr>
          <w:p>
            <w:r>
              <w:rPr>
                <w:rFonts w:ascii="Arial" w:hAnsi="Arial"/>
                <w:sz w:val="20"/>
              </w:rPr>
              <w:t>fulfillmentAttributes</w:t>
            </w:r>
          </w:p>
        </w:tc>
        <w:tc>
          <w:tcPr>
            <w:tcW w:type="dxa" w:w="1417"/>
          </w:tcPr>
          <w:p>
            <w:r>
              <w:rPr>
                <w:rFonts w:ascii="Arial" w:hAnsi="Arial"/>
                <w:sz w:val="20"/>
              </w:rPr>
              <w:t>UC1+UC2+UC3</w:t>
            </w:r>
          </w:p>
        </w:tc>
        <w:tc>
          <w:tcPr>
            <w:tcW w:type="dxa" w:w="1701"/>
          </w:tcPr>
          <w:p>
            <w:r>
              <w:rPr>
                <w:rFonts w:ascii="Arial" w:hAnsi="Arial"/>
                <w:sz w:val="20"/>
              </w:rPr>
              <w:t>aafa:</w:t>
            </w:r>
          </w:p>
        </w:tc>
        <w:tc>
          <w:tcPr>
            <w:tcW w:type="dxa" w:w="3402"/>
          </w:tcPr>
          <w:p>
            <w:r>
              <w:rPr>
                <w:rFonts w:ascii="Arial" w:hAnsi="Arial"/>
                <w:sz w:val="20"/>
              </w:rPr>
              <w:t>Delivery mode, target location (GPS or area codes), content access URL, price query range</w:t>
            </w:r>
          </w:p>
        </w:tc>
      </w:tr>
      <w:tr>
        <w:tc>
          <w:tcPr>
            <w:tcW w:type="dxa" w:w="3118"/>
            <w:shd w:val="clear" w:color="auto" w:fill="EBF3FB"/>
          </w:tcPr>
          <w:p>
            <w:r>
              <w:rPr>
                <w:rFonts w:ascii="Arial" w:hAnsi="Arial"/>
                <w:sz w:val="20"/>
              </w:rPr>
              <w:t>CodedValue (shared)</w:t>
            </w:r>
          </w:p>
        </w:tc>
        <w:tc>
          <w:tcPr>
            <w:tcW w:type="dxa" w:w="1984"/>
            <w:shd w:val="clear" w:color="auto" w:fill="EBF3FB"/>
          </w:tcPr>
          <w:p>
            <w:r>
              <w:rPr>
                <w:rFonts w:ascii="Arial" w:hAnsi="Arial"/>
                <w:sz w:val="20"/>
              </w:rPr>
              <w:t>n/a — sub-schema</w:t>
            </w:r>
          </w:p>
        </w:tc>
        <w:tc>
          <w:tcPr>
            <w:tcW w:type="dxa" w:w="1417"/>
            <w:shd w:val="clear" w:color="auto" w:fill="EBF3FB"/>
          </w:tcPr>
          <w:p>
            <w:r>
              <w:rPr>
                <w:rFonts w:ascii="Arial" w:hAnsi="Arial"/>
                <w:sz w:val="20"/>
              </w:rPr>
              <w:t>All</w:t>
            </w:r>
          </w:p>
        </w:tc>
        <w:tc>
          <w:tcPr>
            <w:tcW w:type="dxa" w:w="1701"/>
            <w:shd w:val="clear" w:color="auto" w:fill="EBF3FB"/>
          </w:tcPr>
          <w:p>
            <w:r>
              <w:rPr>
                <w:rFonts w:ascii="Arial" w:hAnsi="Arial"/>
                <w:sz w:val="20"/>
              </w:rPr>
              <w:t>beckn:</w:t>
            </w:r>
          </w:p>
        </w:tc>
        <w:tc>
          <w:tcPr>
            <w:tcW w:type="dxa" w:w="3402"/>
            <w:shd w:val="clear" w:color="auto" w:fill="EBF3FB"/>
          </w:tcPr>
          <w:p>
            <w:r>
              <w:rPr>
                <w:rFonts w:ascii="Arial" w:hAnsi="Arial"/>
                <w:sz w:val="20"/>
              </w:rPr>
              <w:t>Typed code from any authoritative system (@context + @type + code). Used by coverageAreaCodes and targetLocation.areaCodes.</w:t>
            </w:r>
          </w:p>
        </w:tc>
      </w:tr>
    </w:tbl>
    <w:p/>
    <w:p>
      <w:pPr>
        <w:pStyle w:val="Heading2"/>
      </w:pPr>
      <w:r>
        <w:t>5.2 Discovery Filter Model</w:t>
      </w:r>
    </w:p>
    <w:p>
      <w:r>
        <w:rPr>
          <w:rFonts w:ascii="Arial" w:hAnsi="Arial"/>
          <w:b w:val="0"/>
          <w:i w:val="0"/>
          <w:sz w:val="22"/>
        </w:rPr>
        <w:t>In Beckn v1, the discovery request carried a structured intent object with key-value tag lists in intent.tags[] to express filter criteria. Beckn v2 replaces this with a DiscoverRequest message that supports three complementary search modes:</w:t>
      </w:r>
    </w:p>
    <w:p>
      <w:pPr>
        <w:pStyle w:val="ListBullet"/>
        <w:ind w:left="360"/>
      </w:pPr>
      <w:r>
        <w:rPr>
          <w:rFonts w:ascii="Arial" w:hAnsi="Arial"/>
          <w:sz w:val="22"/>
        </w:rPr>
        <w:t>text_search — free-text NLP query string (e.g., "disease advisory for onion in Marathi").</w:t>
      </w:r>
    </w:p>
    <w:p>
      <w:pPr>
        <w:pStyle w:val="ListBullet"/>
        <w:ind w:left="360"/>
      </w:pPr>
      <w:r>
        <w:rPr>
          <w:rFonts w:ascii="Arial" w:hAnsi="Arial"/>
          <w:sz w:val="22"/>
        </w:rPr>
        <w:t>filters — a JSONPath expression applied against item/resource attributes to filter catalog results by typed field values (e.g., filter by advisoryCategory, forecastType, or commodityName).</w:t>
      </w:r>
    </w:p>
    <w:p>
      <w:pPr>
        <w:pStyle w:val="ListBullet"/>
        <w:ind w:left="360"/>
      </w:pPr>
      <w:r>
        <w:rPr>
          <w:rFonts w:ascii="Arial" w:hAnsi="Arial"/>
          <w:sz w:val="22"/>
        </w:rPr>
        <w:t>spatial — one or more SpatialConstraint objects (op, geometry, distanceMeters) replacing the v1 intent.fulfillment.stops[].location.gps pattern.</w:t>
      </w:r>
    </w:p>
    <w:p/>
    <w:p>
      <w:r>
        <w:rPr>
          <w:rFonts w:ascii="Arial" w:hAnsi="Arial"/>
          <w:b w:val="0"/>
          <w:i w:val="0"/>
          <w:sz w:val="22"/>
        </w:rPr>
        <w:t>BAPs may combine text_search with filters and/or spatial in a single DiscoverRequest. The table below maps v1 intent parameters to their v2 equivalents, showing how each is now expressed as a typed attribute queried via JSONPath or spatial constraint.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268"/>
            <w:shd w:val="clear" w:color="auto" w:fill="1F5C99"/>
          </w:tcPr>
          <w:p>
            <w:pPr>
              <w:jc w:val="center"/>
            </w:pPr>
            <w:r>
              <w:rPr>
                <w:rFonts w:ascii="Arial" w:hAnsi="Arial"/>
                <w:b/>
                <w:color w:val="FFFFFF"/>
                <w:sz w:val="20"/>
              </w:rPr>
              <w:t>Discovery Parameter</w:t>
            </w:r>
          </w:p>
        </w:tc>
        <w:tc>
          <w:tcPr>
            <w:tcW w:type="dxa" w:w="2551"/>
            <w:shd w:val="clear" w:color="auto" w:fill="1F5C99"/>
          </w:tcPr>
          <w:p>
            <w:pPr>
              <w:jc w:val="center"/>
            </w:pPr>
            <w:r>
              <w:rPr>
                <w:rFonts w:ascii="Arial" w:hAnsi="Arial"/>
                <w:b/>
                <w:color w:val="FFFFFF"/>
                <w:sz w:val="20"/>
              </w:rPr>
              <w:t>v1 Location (intent)</w:t>
            </w:r>
          </w:p>
        </w:tc>
        <w:tc>
          <w:tcPr>
            <w:tcW w:type="dxa" w:w="3969"/>
            <w:shd w:val="clear" w:color="auto" w:fill="1F5C99"/>
          </w:tcPr>
          <w:p>
            <w:pPr>
              <w:jc w:val="center"/>
            </w:pPr>
            <w:r>
              <w:rPr>
                <w:rFonts w:ascii="Arial" w:hAnsi="Arial"/>
                <w:b/>
                <w:color w:val="FFFFFF"/>
                <w:sz w:val="20"/>
              </w:rPr>
              <w:t>v2 Mechanism</w:t>
            </w:r>
          </w:p>
        </w:tc>
        <w:tc>
          <w:tcPr>
            <w:tcW w:type="dxa" w:w="850"/>
            <w:shd w:val="clear" w:color="auto" w:fill="1F5C99"/>
          </w:tcPr>
          <w:p>
            <w:pPr>
              <w:jc w:val="center"/>
            </w:pPr>
            <w:r>
              <w:rPr>
                <w:rFonts w:ascii="Arial" w:hAnsi="Arial"/>
                <w:b/>
                <w:color w:val="FFFFFF"/>
                <w:sz w:val="20"/>
              </w:rPr>
              <w:t>UC</w:t>
            </w:r>
          </w:p>
        </w:tc>
      </w:tr>
      <w:tr>
        <w:tc>
          <w:tcPr>
            <w:tcW w:type="dxa" w:w="2268"/>
            <w:shd w:val="clear" w:color="auto" w:fill="EBF3FB"/>
          </w:tcPr>
          <w:p>
            <w:r>
              <w:rPr>
                <w:rFonts w:ascii="Arial" w:hAnsi="Arial"/>
                <w:sz w:val="20"/>
              </w:rPr>
              <w:t>Advisory category / topic</w:t>
            </w:r>
          </w:p>
        </w:tc>
        <w:tc>
          <w:tcPr>
            <w:tcW w:type="dxa" w:w="2551"/>
            <w:shd w:val="clear" w:color="auto" w:fill="EBF3FB"/>
          </w:tcPr>
          <w:p>
            <w:r>
              <w:rPr>
                <w:rFonts w:ascii="Arial" w:hAnsi="Arial"/>
                <w:sz w:val="20"/>
              </w:rPr>
              <w:t>intent.category.descriptor.code</w:t>
            </w:r>
          </w:p>
        </w:tc>
        <w:tc>
          <w:tcPr>
            <w:tcW w:type="dxa" w:w="3969"/>
            <w:shd w:val="clear" w:color="auto" w:fill="EBF3FB"/>
          </w:tcPr>
          <w:p>
            <w:r>
              <w:rPr>
                <w:rFonts w:ascii="Arial" w:hAnsi="Arial"/>
                <w:sz w:val="20"/>
              </w:rPr>
              <w:t>filters JSONPath: $..[?(@.itemAttributes.advisoryCategory == 'DISEASE_CONTROL')] or text_search</w:t>
            </w:r>
          </w:p>
        </w:tc>
        <w:tc>
          <w:tcPr>
            <w:tcW w:type="dxa" w:w="850"/>
            <w:shd w:val="clear" w:color="auto" w:fill="EBF3FB"/>
          </w:tcPr>
          <w:p>
            <w:r>
              <w:rPr>
                <w:rFonts w:ascii="Arial" w:hAnsi="Arial"/>
                <w:sz w:val="20"/>
              </w:rPr>
              <w:t>UC1</w:t>
            </w:r>
          </w:p>
        </w:tc>
      </w:tr>
      <w:tr>
        <w:tc>
          <w:tcPr>
            <w:tcW w:type="dxa" w:w="2268"/>
          </w:tcPr>
          <w:p>
            <w:r>
              <w:rPr>
                <w:rFonts w:ascii="Arial" w:hAnsi="Arial"/>
                <w:sz w:val="20"/>
              </w:rPr>
              <w:t>Crop name / disease</w:t>
            </w:r>
          </w:p>
        </w:tc>
        <w:tc>
          <w:tcPr>
            <w:tcW w:type="dxa" w:w="2551"/>
          </w:tcPr>
          <w:p>
            <w:r>
              <w:rPr>
                <w:rFonts w:ascii="Arial" w:hAnsi="Arial"/>
                <w:sz w:val="20"/>
              </w:rPr>
              <w:t>intent.tags[crop-details.crop-name]</w:t>
            </w:r>
          </w:p>
        </w:tc>
        <w:tc>
          <w:tcPr>
            <w:tcW w:type="dxa" w:w="3969"/>
          </w:tcPr>
          <w:p>
            <w:r>
              <w:rPr>
                <w:rFonts w:ascii="Arial" w:hAnsi="Arial"/>
                <w:sz w:val="20"/>
              </w:rPr>
              <w:t>filters JSONPath: $..[?('onion' in @.itemAttributes.targetCrops)]</w:t>
            </w:r>
          </w:p>
        </w:tc>
        <w:tc>
          <w:tcPr>
            <w:tcW w:type="dxa" w:w="850"/>
          </w:tcPr>
          <w:p>
            <w:r>
              <w:rPr>
                <w:rFonts w:ascii="Arial" w:hAnsi="Arial"/>
                <w:sz w:val="20"/>
              </w:rPr>
              <w:t>UC1</w:t>
            </w:r>
          </w:p>
        </w:tc>
      </w:tr>
      <w:tr>
        <w:tc>
          <w:tcPr>
            <w:tcW w:type="dxa" w:w="2268"/>
            <w:shd w:val="clear" w:color="auto" w:fill="EBF3FB"/>
          </w:tcPr>
          <w:p>
            <w:r>
              <w:rPr>
                <w:rFonts w:ascii="Arial" w:hAnsi="Arial"/>
                <w:sz w:val="20"/>
              </w:rPr>
              <w:t>Language</w:t>
            </w:r>
          </w:p>
        </w:tc>
        <w:tc>
          <w:tcPr>
            <w:tcW w:type="dxa" w:w="2551"/>
            <w:shd w:val="clear" w:color="auto" w:fill="EBF3FB"/>
          </w:tcPr>
          <w:p>
            <w:r>
              <w:rPr>
                <w:rFonts w:ascii="Arial" w:hAnsi="Arial"/>
                <w:sz w:val="20"/>
              </w:rPr>
              <w:t>intent.item.tags[languages]</w:t>
            </w:r>
          </w:p>
        </w:tc>
        <w:tc>
          <w:tcPr>
            <w:tcW w:type="dxa" w:w="3969"/>
            <w:shd w:val="clear" w:color="auto" w:fill="EBF3FB"/>
          </w:tcPr>
          <w:p>
            <w:r>
              <w:rPr>
                <w:rFonts w:ascii="Arial" w:hAnsi="Arial"/>
                <w:sz w:val="20"/>
              </w:rPr>
              <w:t>filters JSONPath: $..[?('mr' in @.itemAttributes.languages)]</w:t>
            </w:r>
          </w:p>
        </w:tc>
        <w:tc>
          <w:tcPr>
            <w:tcW w:type="dxa" w:w="850"/>
            <w:shd w:val="clear" w:color="auto" w:fill="EBF3FB"/>
          </w:tcPr>
          <w:p>
            <w:r>
              <w:rPr>
                <w:rFonts w:ascii="Arial" w:hAnsi="Arial"/>
                <w:sz w:val="20"/>
              </w:rPr>
              <w:t>All</w:t>
            </w:r>
          </w:p>
        </w:tc>
      </w:tr>
      <w:tr>
        <w:tc>
          <w:tcPr>
            <w:tcW w:type="dxa" w:w="2268"/>
          </w:tcPr>
          <w:p>
            <w:r>
              <w:rPr>
                <w:rFonts w:ascii="Arial" w:hAnsi="Arial"/>
                <w:sz w:val="20"/>
              </w:rPr>
              <w:t>Farm GPS location + radius</w:t>
            </w:r>
          </w:p>
        </w:tc>
        <w:tc>
          <w:tcPr>
            <w:tcW w:type="dxa" w:w="2551"/>
          </w:tcPr>
          <w:p>
            <w:r>
              <w:rPr>
                <w:rFonts w:ascii="Arial" w:hAnsi="Arial"/>
                <w:sz w:val="20"/>
              </w:rPr>
              <w:t>intent.fulfillment.stops[].location.gps + intent.tags[radius]</w:t>
            </w:r>
          </w:p>
        </w:tc>
        <w:tc>
          <w:tcPr>
            <w:tcW w:type="dxa" w:w="3969"/>
          </w:tcPr>
          <w:p>
            <w:r>
              <w:rPr>
                <w:rFonts w:ascii="Arial" w:hAnsi="Arial"/>
                <w:sz w:val="20"/>
              </w:rPr>
              <w:t>spatial SpatialConstraint: op=s_dwithin, geometry=GeoJSON Point, distanceMeters=N</w:t>
            </w:r>
          </w:p>
        </w:tc>
        <w:tc>
          <w:tcPr>
            <w:tcW w:type="dxa" w:w="850"/>
          </w:tcPr>
          <w:p>
            <w:r>
              <w:rPr>
                <w:rFonts w:ascii="Arial" w:hAnsi="Arial"/>
                <w:sz w:val="20"/>
              </w:rPr>
              <w:t>UC2, UC3</w:t>
            </w:r>
          </w:p>
        </w:tc>
      </w:tr>
      <w:tr>
        <w:tc>
          <w:tcPr>
            <w:tcW w:type="dxa" w:w="2268"/>
            <w:shd w:val="clear" w:color="auto" w:fill="EBF3FB"/>
          </w:tcPr>
          <w:p>
            <w:r>
              <w:rPr>
                <w:rFonts w:ascii="Arial" w:hAnsi="Arial"/>
                <w:sz w:val="20"/>
              </w:rPr>
              <w:t>Commodity name</w:t>
            </w:r>
          </w:p>
        </w:tc>
        <w:tc>
          <w:tcPr>
            <w:tcW w:type="dxa" w:w="2551"/>
            <w:shd w:val="clear" w:color="auto" w:fill="EBF3FB"/>
          </w:tcPr>
          <w:p>
            <w:r>
              <w:rPr>
                <w:rFonts w:ascii="Arial" w:hAnsi="Arial"/>
                <w:sz w:val="20"/>
              </w:rPr>
              <w:t>intent.item.descriptor.name</w:t>
            </w:r>
          </w:p>
        </w:tc>
        <w:tc>
          <w:tcPr>
            <w:tcW w:type="dxa" w:w="3969"/>
            <w:shd w:val="clear" w:color="auto" w:fill="EBF3FB"/>
          </w:tcPr>
          <w:p>
            <w:r>
              <w:rPr>
                <w:rFonts w:ascii="Arial" w:hAnsi="Arial"/>
                <w:sz w:val="20"/>
              </w:rPr>
              <w:t xml:space="preserve">text_search or filters JSONPath: $..[?(@.itemAttributes.commodityName == 'Grapes')] </w:t>
            </w:r>
          </w:p>
        </w:tc>
        <w:tc>
          <w:tcPr>
            <w:tcW w:type="dxa" w:w="850"/>
            <w:shd w:val="clear" w:color="auto" w:fill="EBF3FB"/>
          </w:tcPr>
          <w:p>
            <w:r>
              <w:rPr>
                <w:rFonts w:ascii="Arial" w:hAnsi="Arial"/>
                <w:sz w:val="20"/>
              </w:rPr>
              <w:t>UC2</w:t>
            </w:r>
          </w:p>
        </w:tc>
      </w:tr>
      <w:tr>
        <w:tc>
          <w:tcPr>
            <w:tcW w:type="dxa" w:w="2268"/>
          </w:tcPr>
          <w:p>
            <w:r>
              <w:rPr>
                <w:rFonts w:ascii="Arial" w:hAnsi="Arial"/>
                <w:sz w:val="20"/>
              </w:rPr>
              <w:t>Price date range</w:t>
            </w:r>
          </w:p>
        </w:tc>
        <w:tc>
          <w:tcPr>
            <w:tcW w:type="dxa" w:w="2551"/>
          </w:tcPr>
          <w:p>
            <w:r>
              <w:rPr>
                <w:rFonts w:ascii="Arial" w:hAnsi="Arial"/>
                <w:sz w:val="20"/>
              </w:rPr>
              <w:t>intent.tags[price-date-range]</w:t>
            </w:r>
          </w:p>
        </w:tc>
        <w:tc>
          <w:tcPr>
            <w:tcW w:type="dxa" w:w="3969"/>
          </w:tcPr>
          <w:p>
            <w:r>
              <w:rPr>
                <w:rFonts w:ascii="Arial" w:hAnsi="Arial"/>
                <w:sz w:val="20"/>
              </w:rPr>
              <w:t xml:space="preserve">filters JSONPath: $..[?(@.itemAttributes.priceObservationPeriod.startDate &gt;= '2026-03-10')] </w:t>
            </w:r>
          </w:p>
        </w:tc>
        <w:tc>
          <w:tcPr>
            <w:tcW w:type="dxa" w:w="850"/>
          </w:tcPr>
          <w:p>
            <w:r>
              <w:rPr>
                <w:rFonts w:ascii="Arial" w:hAnsi="Arial"/>
                <w:sz w:val="20"/>
              </w:rPr>
              <w:t>UC2</w:t>
            </w:r>
          </w:p>
        </w:tc>
      </w:tr>
      <w:tr>
        <w:tc>
          <w:tcPr>
            <w:tcW w:type="dxa" w:w="2268"/>
            <w:shd w:val="clear" w:color="auto" w:fill="EBF3FB"/>
          </w:tcPr>
          <w:p>
            <w:r>
              <w:rPr>
                <w:rFonts w:ascii="Arial" w:hAnsi="Arial"/>
                <w:sz w:val="20"/>
              </w:rPr>
              <w:t>Forecast type</w:t>
            </w:r>
          </w:p>
        </w:tc>
        <w:tc>
          <w:tcPr>
            <w:tcW w:type="dxa" w:w="2551"/>
            <w:shd w:val="clear" w:color="auto" w:fill="EBF3FB"/>
          </w:tcPr>
          <w:p>
            <w:r>
              <w:rPr>
                <w:rFonts w:ascii="Arial" w:hAnsi="Arial"/>
                <w:sz w:val="20"/>
              </w:rPr>
              <w:t>intent.category.descriptor.code</w:t>
            </w:r>
          </w:p>
        </w:tc>
        <w:tc>
          <w:tcPr>
            <w:tcW w:type="dxa" w:w="3969"/>
            <w:shd w:val="clear" w:color="auto" w:fill="EBF3FB"/>
          </w:tcPr>
          <w:p>
            <w:r>
              <w:rPr>
                <w:rFonts w:ascii="Arial" w:hAnsi="Arial"/>
                <w:sz w:val="20"/>
              </w:rPr>
              <w:t xml:space="preserve">filters JSONPath: $..[?(@.itemAttributes.forecastType == 'WEATHER_FORECAST')] </w:t>
            </w:r>
          </w:p>
        </w:tc>
        <w:tc>
          <w:tcPr>
            <w:tcW w:type="dxa" w:w="850"/>
            <w:shd w:val="clear" w:color="auto" w:fill="EBF3FB"/>
          </w:tcPr>
          <w:p>
            <w:r>
              <w:rPr>
                <w:rFonts w:ascii="Arial" w:hAnsi="Arial"/>
                <w:sz w:val="20"/>
              </w:rPr>
              <w:t>UC3</w:t>
            </w:r>
          </w:p>
        </w:tc>
      </w:tr>
      <w:tr>
        <w:tc>
          <w:tcPr>
            <w:tcW w:type="dxa" w:w="2268"/>
          </w:tcPr>
          <w:p>
            <w:r>
              <w:rPr>
                <w:rFonts w:ascii="Arial" w:hAnsi="Arial"/>
                <w:sz w:val="20"/>
              </w:rPr>
              <w:t>Forecast duration</w:t>
            </w:r>
          </w:p>
        </w:tc>
        <w:tc>
          <w:tcPr>
            <w:tcW w:type="dxa" w:w="2551"/>
          </w:tcPr>
          <w:p>
            <w:r>
              <w:rPr>
                <w:rFonts w:ascii="Arial" w:hAnsi="Arial"/>
                <w:sz w:val="20"/>
              </w:rPr>
              <w:t>intent.item.time.duration</w:t>
            </w:r>
          </w:p>
        </w:tc>
        <w:tc>
          <w:tcPr>
            <w:tcW w:type="dxa" w:w="3969"/>
          </w:tcPr>
          <w:p>
            <w:r>
              <w:rPr>
                <w:rFonts w:ascii="Arial" w:hAnsi="Arial"/>
                <w:sz w:val="20"/>
              </w:rPr>
              <w:t>filters JSONPath: $..[?(@.itemAttributes.forecastDurationDays &gt;= 14)]</w:t>
            </w:r>
          </w:p>
        </w:tc>
        <w:tc>
          <w:tcPr>
            <w:tcW w:type="dxa" w:w="850"/>
          </w:tcPr>
          <w:p>
            <w:r>
              <w:rPr>
                <w:rFonts w:ascii="Arial" w:hAnsi="Arial"/>
                <w:sz w:val="20"/>
              </w:rPr>
              <w:t>UC3</w:t>
            </w:r>
          </w:p>
        </w:tc>
      </w:tr>
      <w:tr>
        <w:tc>
          <w:tcPr>
            <w:tcW w:type="dxa" w:w="2268"/>
            <w:shd w:val="clear" w:color="auto" w:fill="EBF3FB"/>
          </w:tcPr>
          <w:p>
            <w:r>
              <w:rPr>
                <w:rFonts w:ascii="Arial" w:hAnsi="Arial"/>
                <w:sz w:val="20"/>
              </w:rPr>
              <w:t>Weather data points</w:t>
            </w:r>
          </w:p>
        </w:tc>
        <w:tc>
          <w:tcPr>
            <w:tcW w:type="dxa" w:w="2551"/>
            <w:shd w:val="clear" w:color="auto" w:fill="EBF3FB"/>
          </w:tcPr>
          <w:p>
            <w:r>
              <w:rPr>
                <w:rFonts w:ascii="Arial" w:hAnsi="Arial"/>
                <w:sz w:val="20"/>
              </w:rPr>
              <w:t>intent.item.tags[Weather datapoints]</w:t>
            </w:r>
          </w:p>
        </w:tc>
        <w:tc>
          <w:tcPr>
            <w:tcW w:type="dxa" w:w="3969"/>
            <w:shd w:val="clear" w:color="auto" w:fill="EBF3FB"/>
          </w:tcPr>
          <w:p>
            <w:r>
              <w:rPr>
                <w:rFonts w:ascii="Arial" w:hAnsi="Arial"/>
                <w:sz w:val="20"/>
              </w:rPr>
              <w:t>filters JSONPath: $..[?('PRECIPITATION' in @.itemAttributes.weatherDataPoints)]</w:t>
            </w:r>
          </w:p>
        </w:tc>
        <w:tc>
          <w:tcPr>
            <w:tcW w:type="dxa" w:w="850"/>
            <w:shd w:val="clear" w:color="auto" w:fill="EBF3FB"/>
          </w:tcPr>
          <w:p>
            <w:r>
              <w:rPr>
                <w:rFonts w:ascii="Arial" w:hAnsi="Arial"/>
                <w:sz w:val="20"/>
              </w:rPr>
              <w:t>UC3</w:t>
            </w:r>
          </w:p>
        </w:tc>
      </w:tr>
      <w:tr>
        <w:tc>
          <w:tcPr>
            <w:tcW w:type="dxa" w:w="2268"/>
          </w:tcPr>
          <w:p>
            <w:r>
              <w:rPr>
                <w:rFonts w:ascii="Arial" w:hAnsi="Arial"/>
                <w:sz w:val="20"/>
              </w:rPr>
              <w:t>Coverage area (administrative code)</w:t>
            </w:r>
          </w:p>
        </w:tc>
        <w:tc>
          <w:tcPr>
            <w:tcW w:type="dxa" w:w="2551"/>
          </w:tcPr>
          <w:p>
            <w:r>
              <w:rPr>
                <w:rFonts w:ascii="Arial" w:hAnsi="Arial"/>
                <w:sz w:val="20"/>
              </w:rPr>
              <w:t>intent.fulfillment.stops[].location (untyped)</w:t>
            </w:r>
          </w:p>
        </w:tc>
        <w:tc>
          <w:tcPr>
            <w:tcW w:type="dxa" w:w="3969"/>
          </w:tcPr>
          <w:p>
            <w:r>
              <w:rPr>
                <w:rFonts w:ascii="Arial" w:hAnsi="Arial"/>
                <w:sz w:val="20"/>
              </w:rPr>
              <w:t>filters JSONPath: $..[?('507' in @.itemAttributes.coverageAreaCodes[*].code)] — filters BPPs whose product coverage includes LGD district 507 (Nashik). Complements or replaces GPS-based spatial constraint.</w:t>
            </w:r>
          </w:p>
        </w:tc>
        <w:tc>
          <w:tcPr>
            <w:tcW w:type="dxa" w:w="850"/>
          </w:tcPr>
          <w:p>
            <w:r>
              <w:rPr>
                <w:rFonts w:ascii="Arial" w:hAnsi="Arial"/>
                <w:sz w:val="20"/>
              </w:rPr>
              <w:t>UC2, UC3</w:t>
            </w:r>
          </w:p>
        </w:tc>
      </w:tr>
    </w:tbl>
    <w:p/>
    <w:p>
      <w:pPr>
        <w:pStyle w:val="Heading1"/>
      </w:pPr>
      <w:r>
        <w:t>6. Use Cases Overview</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835"/>
            <w:shd w:val="clear" w:color="auto" w:fill="1F5C99"/>
          </w:tcPr>
          <w:p>
            <w:pPr>
              <w:jc w:val="center"/>
            </w:pPr>
            <w:r>
              <w:rPr>
                <w:rFonts w:ascii="Arial" w:hAnsi="Arial"/>
                <w:b/>
                <w:color w:val="FFFFFF"/>
                <w:sz w:val="20"/>
              </w:rPr>
              <w:t>Use Case</w:t>
            </w:r>
          </w:p>
        </w:tc>
        <w:tc>
          <w:tcPr>
            <w:tcW w:type="dxa" w:w="1134"/>
            <w:shd w:val="clear" w:color="auto" w:fill="1F5C99"/>
          </w:tcPr>
          <w:p>
            <w:pPr>
              <w:jc w:val="center"/>
            </w:pPr>
            <w:r>
              <w:rPr>
                <w:rFonts w:ascii="Arial" w:hAnsi="Arial"/>
                <w:b/>
                <w:color w:val="FFFFFF"/>
                <w:sz w:val="20"/>
              </w:rPr>
              <w:t>Code</w:t>
            </w:r>
          </w:p>
        </w:tc>
        <w:tc>
          <w:tcPr>
            <w:tcW w:type="dxa" w:w="2551"/>
            <w:shd w:val="clear" w:color="auto" w:fill="1F5C99"/>
          </w:tcPr>
          <w:p>
            <w:pPr>
              <w:jc w:val="center"/>
            </w:pPr>
            <w:r>
              <w:rPr>
                <w:rFonts w:ascii="Arial" w:hAnsi="Arial"/>
                <w:b/>
                <w:color w:val="FFFFFF"/>
                <w:sz w:val="20"/>
              </w:rPr>
              <w:t>Nature</w:t>
            </w:r>
          </w:p>
        </w:tc>
        <w:tc>
          <w:tcPr>
            <w:tcW w:type="dxa" w:w="3402"/>
            <w:shd w:val="clear" w:color="auto" w:fill="1F5C99"/>
          </w:tcPr>
          <w:p>
            <w:pPr>
              <w:jc w:val="center"/>
            </w:pPr>
            <w:r>
              <w:rPr>
                <w:rFonts w:ascii="Arial" w:hAnsi="Arial"/>
                <w:b/>
                <w:color w:val="FFFFFF"/>
                <w:sz w:val="20"/>
              </w:rPr>
              <w:t>Order Lifecycle</w:t>
            </w:r>
          </w:p>
        </w:tc>
      </w:tr>
      <w:tr>
        <w:tc>
          <w:tcPr>
            <w:tcW w:type="dxa" w:w="2835"/>
            <w:shd w:val="clear" w:color="auto" w:fill="EBF3FB"/>
          </w:tcPr>
          <w:p>
            <w:r>
              <w:rPr>
                <w:rFonts w:ascii="Arial" w:hAnsi="Arial"/>
                <w:sz w:val="20"/>
              </w:rPr>
              <w:t>Crop / Disease Advisory</w:t>
            </w:r>
          </w:p>
        </w:tc>
        <w:tc>
          <w:tcPr>
            <w:tcW w:type="dxa" w:w="1134"/>
            <w:shd w:val="clear" w:color="auto" w:fill="EBF3FB"/>
          </w:tcPr>
          <w:p>
            <w:r>
              <w:rPr>
                <w:rFonts w:ascii="Arial" w:hAnsi="Arial"/>
                <w:sz w:val="20"/>
              </w:rPr>
              <w:t>UC1</w:t>
            </w:r>
          </w:p>
        </w:tc>
        <w:tc>
          <w:tcPr>
            <w:tcW w:type="dxa" w:w="2551"/>
            <w:shd w:val="clear" w:color="auto" w:fill="EBF3FB"/>
          </w:tcPr>
          <w:p>
            <w:r>
              <w:rPr>
                <w:rFonts w:ascii="Arial" w:hAnsi="Arial"/>
                <w:sz w:val="20"/>
              </w:rPr>
              <w:t>Free and paid digital advisory content</w:t>
            </w:r>
          </w:p>
        </w:tc>
        <w:tc>
          <w:tcPr>
            <w:tcW w:type="dxa" w:w="3402"/>
            <w:shd w:val="clear" w:color="auto" w:fill="EBF3FB"/>
          </w:tcPr>
          <w:p>
            <w:r>
              <w:rPr>
                <w:rFonts w:ascii="Arial" w:hAnsi="Arial"/>
                <w:sz w:val="20"/>
              </w:rPr>
              <w:t>Free: Discover → on_discover only</w:t>
              <w:br/>
              <w:t>Paid: Discover → Select → Init → Confirm → Status → Cancel</w:t>
            </w:r>
          </w:p>
        </w:tc>
      </w:tr>
      <w:tr>
        <w:tc>
          <w:tcPr>
            <w:tcW w:type="dxa" w:w="2835"/>
          </w:tcPr>
          <w:p>
            <w:r>
              <w:rPr>
                <w:rFonts w:ascii="Arial" w:hAnsi="Arial"/>
                <w:sz w:val="20"/>
              </w:rPr>
              <w:t>Commodity Price Listing</w:t>
            </w:r>
          </w:p>
        </w:tc>
        <w:tc>
          <w:tcPr>
            <w:tcW w:type="dxa" w:w="1134"/>
          </w:tcPr>
          <w:p>
            <w:r>
              <w:rPr>
                <w:rFonts w:ascii="Arial" w:hAnsi="Arial"/>
                <w:sz w:val="20"/>
              </w:rPr>
              <w:t>UC2</w:t>
            </w:r>
          </w:p>
        </w:tc>
        <w:tc>
          <w:tcPr>
            <w:tcW w:type="dxa" w:w="2551"/>
          </w:tcPr>
          <w:p>
            <w:r>
              <w:rPr>
                <w:rFonts w:ascii="Arial" w:hAnsi="Arial"/>
                <w:sz w:val="20"/>
              </w:rPr>
              <w:t>Market price discovery (no transaction)</w:t>
            </w:r>
          </w:p>
        </w:tc>
        <w:tc>
          <w:tcPr>
            <w:tcW w:type="dxa" w:w="3402"/>
          </w:tcPr>
          <w:p>
            <w:r>
              <w:rPr>
                <w:rFonts w:ascii="Arial" w:hAnsi="Arial"/>
                <w:sz w:val="20"/>
              </w:rPr>
              <w:t>Discover → on_discover only</w:t>
            </w:r>
          </w:p>
        </w:tc>
      </w:tr>
      <w:tr>
        <w:tc>
          <w:tcPr>
            <w:tcW w:type="dxa" w:w="2835"/>
            <w:shd w:val="clear" w:color="auto" w:fill="EBF3FB"/>
          </w:tcPr>
          <w:p>
            <w:r>
              <w:rPr>
                <w:rFonts w:ascii="Arial" w:hAnsi="Arial"/>
                <w:sz w:val="20"/>
              </w:rPr>
              <w:t>Weather Forecast Data</w:t>
            </w:r>
          </w:p>
        </w:tc>
        <w:tc>
          <w:tcPr>
            <w:tcW w:type="dxa" w:w="1134"/>
            <w:shd w:val="clear" w:color="auto" w:fill="EBF3FB"/>
          </w:tcPr>
          <w:p>
            <w:r>
              <w:rPr>
                <w:rFonts w:ascii="Arial" w:hAnsi="Arial"/>
                <w:sz w:val="20"/>
              </w:rPr>
              <w:t>UC3</w:t>
            </w:r>
          </w:p>
        </w:tc>
        <w:tc>
          <w:tcPr>
            <w:tcW w:type="dxa" w:w="2551"/>
            <w:shd w:val="clear" w:color="auto" w:fill="EBF3FB"/>
          </w:tcPr>
          <w:p>
            <w:r>
              <w:rPr>
                <w:rFonts w:ascii="Arial" w:hAnsi="Arial"/>
                <w:sz w:val="20"/>
              </w:rPr>
              <w:t>Paid weather intelligence products</w:t>
            </w:r>
          </w:p>
        </w:tc>
        <w:tc>
          <w:tcPr>
            <w:tcW w:type="dxa" w:w="3402"/>
            <w:shd w:val="clear" w:color="auto" w:fill="EBF3FB"/>
          </w:tcPr>
          <w:p>
            <w:r>
              <w:rPr>
                <w:rFonts w:ascii="Arial" w:hAnsi="Arial"/>
                <w:sz w:val="20"/>
              </w:rPr>
              <w:t>Discover → Select → Init → Confirm → Status → Cancel</w:t>
            </w:r>
          </w:p>
        </w:tc>
      </w:tr>
    </w:tbl>
    <w:p/>
    <w:p>
      <w:pPr>
        <w:shd w:val="clear" w:color="auto" w:fill="FFF9C4"/>
        <w:ind w:left="288" w:right="288"/>
      </w:pPr>
      <w:r>
        <w:rPr>
          <w:b/>
          <w:sz w:val="20"/>
        </w:rPr>
        <w:t xml:space="preserve">Key design principle: </w:t>
      </w:r>
      <w:r>
        <w:rPr>
          <w:sz w:val="20"/>
        </w:rPr>
        <w:t>UC2 (Commodity Price Listing) has no order lifecycle. Price data is always free and informational. The item and offer schemas are present for catalog modeling, but BPPs must not expect select/init/confirm calls for UC2 items.</w:t>
      </w:r>
    </w:p>
    <w:p/>
    <w:p>
      <w:pPr>
        <w:pStyle w:val="Heading1"/>
      </w:pPr>
      <w:r>
        <w:t>7. UC1 — Crop and Disease Advisory</w:t>
      </w:r>
    </w:p>
    <w:p>
      <w:pPr>
        <w:pStyle w:val="Heading2"/>
      </w:pPr>
      <w:r>
        <w:t>7.1 Overview</w:t>
      </w:r>
    </w:p>
    <w:p>
      <w:r>
        <w:rPr>
          <w:rFonts w:ascii="Arial" w:hAnsi="Arial"/>
          <w:b w:val="0"/>
          <w:i w:val="0"/>
          <w:sz w:val="22"/>
        </w:rPr>
        <w:t>Sandip, an onion farmer in Nashik, notices yellowing and water-soaked lesions on his onion crop. He opens a Beckn-enabled app and searches for disease advisory content in Marathi. The network returns advisory articles and videos from ICAR, state agricultural universities, and agri-extension platforms — some free, some paid. Sandip finds a detailed PDF advisory on Stemphylium Blight with a spray schedule from ICAR Pune and downloads it free of charge.</w:t>
      </w:r>
    </w:p>
    <w:p>
      <w:r>
        <w:rPr>
          <w:rFonts w:ascii="Arial" w:hAnsi="Arial"/>
          <w:b w:val="0"/>
          <w:i w:val="0"/>
          <w:sz w:val="22"/>
        </w:rPr>
        <w:t>For paid advisories (e.g., a personalised disease management report), the farmer selects the item, reviews the price, provides contact details, confirms payment via UPI, and receives a download link or API key.</w:t>
      </w:r>
    </w:p>
    <w:p>
      <w:pPr>
        <w:pStyle w:val="Heading2"/>
      </w:pPr>
      <w:r>
        <w:t>7.2 Key Item Attributes (CropAdvisoryItemAttributes)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val="clear" w:color="auto" w:fill="1F5C99"/>
          </w:tcPr>
          <w:p>
            <w:pPr>
              <w:jc w:val="center"/>
            </w:pPr>
            <w:r>
              <w:rPr>
                <w:rFonts w:ascii="Arial" w:hAnsi="Arial"/>
                <w:b/>
                <w:color w:val="FFFFFF"/>
                <w:sz w:val="20"/>
              </w:rPr>
              <w:t>Field</w:t>
            </w:r>
          </w:p>
        </w:tc>
        <w:tc>
          <w:tcPr>
            <w:tcW w:type="dxa" w:w="1417"/>
            <w:shd w:val="clear" w:color="auto" w:fill="1F5C99"/>
          </w:tcPr>
          <w:p>
            <w:pPr>
              <w:jc w:val="center"/>
            </w:pPr>
            <w:r>
              <w:rPr>
                <w:rFonts w:ascii="Arial" w:hAnsi="Arial"/>
                <w:b/>
                <w:color w:val="FFFFFF"/>
                <w:sz w:val="20"/>
              </w:rPr>
              <w:t>Type</w:t>
            </w:r>
          </w:p>
        </w:tc>
        <w:tc>
          <w:tcPr>
            <w:tcW w:type="dxa" w:w="3685"/>
            <w:shd w:val="clear" w:color="auto" w:fill="1F5C99"/>
          </w:tcPr>
          <w:p>
            <w:pPr>
              <w:jc w:val="center"/>
            </w:pPr>
            <w:r>
              <w:rPr>
                <w:rFonts w:ascii="Arial" w:hAnsi="Arial"/>
                <w:b/>
                <w:color w:val="FFFFFF"/>
                <w:sz w:val="20"/>
              </w:rPr>
              <w:t>Description</w:t>
            </w:r>
          </w:p>
        </w:tc>
        <w:tc>
          <w:tcPr>
            <w:tcW w:type="dxa" w:w="2268"/>
            <w:shd w:val="clear" w:color="auto" w:fill="1F5C99"/>
          </w:tcPr>
          <w:p>
            <w:pPr>
              <w:jc w:val="center"/>
            </w:pPr>
            <w:r>
              <w:rPr>
                <w:rFonts w:ascii="Arial" w:hAnsi="Arial"/>
                <w:b/>
                <w:color w:val="FFFFFF"/>
                <w:sz w:val="20"/>
              </w:rPr>
              <w:t>Example</w:t>
            </w:r>
          </w:p>
        </w:tc>
      </w:tr>
      <w:tr>
        <w:tc>
          <w:tcPr>
            <w:tcW w:type="dxa" w:w="2551"/>
            <w:shd w:val="clear" w:color="auto" w:fill="EBF3FB"/>
          </w:tcPr>
          <w:p>
            <w:r>
              <w:rPr>
                <w:rFonts w:ascii="Arial" w:hAnsi="Arial"/>
                <w:sz w:val="20"/>
              </w:rPr>
              <w:t>advisoryCategory</w:t>
            </w:r>
          </w:p>
        </w:tc>
        <w:tc>
          <w:tcPr>
            <w:tcW w:type="dxa" w:w="1417"/>
            <w:shd w:val="clear" w:color="auto" w:fill="EBF3FB"/>
          </w:tcPr>
          <w:p>
            <w:r>
              <w:rPr>
                <w:rFonts w:ascii="Arial" w:hAnsi="Arial"/>
                <w:sz w:val="20"/>
              </w:rPr>
              <w:t>enum</w:t>
            </w:r>
          </w:p>
        </w:tc>
        <w:tc>
          <w:tcPr>
            <w:tcW w:type="dxa" w:w="3685"/>
            <w:shd w:val="clear" w:color="auto" w:fill="EBF3FB"/>
          </w:tcPr>
          <w:p>
            <w:r>
              <w:rPr>
                <w:rFonts w:ascii="Arial" w:hAnsi="Arial"/>
                <w:sz w:val="20"/>
              </w:rPr>
              <w:t>DISEASE_CONTROL | SPRAY_SCHEDULE | PEST_FORECAST | GENERAL_ADVISORY</w:t>
            </w:r>
          </w:p>
        </w:tc>
        <w:tc>
          <w:tcPr>
            <w:tcW w:type="dxa" w:w="2268"/>
            <w:shd w:val="clear" w:color="auto" w:fill="EBF3FB"/>
          </w:tcPr>
          <w:p>
            <w:r>
              <w:rPr>
                <w:rFonts w:ascii="Arial" w:hAnsi="Arial"/>
                <w:sz w:val="20"/>
              </w:rPr>
              <w:t>DISEASE_CONTROL</w:t>
            </w:r>
          </w:p>
        </w:tc>
      </w:tr>
      <w:tr>
        <w:tc>
          <w:tcPr>
            <w:tcW w:type="dxa" w:w="2551"/>
          </w:tcPr>
          <w:p>
            <w:r>
              <w:rPr>
                <w:rFonts w:ascii="Arial" w:hAnsi="Arial"/>
                <w:sz w:val="20"/>
              </w:rPr>
              <w:t>contentType</w:t>
            </w:r>
          </w:p>
        </w:tc>
        <w:tc>
          <w:tcPr>
            <w:tcW w:type="dxa" w:w="1417"/>
          </w:tcPr>
          <w:p>
            <w:r>
              <w:rPr>
                <w:rFonts w:ascii="Arial" w:hAnsi="Arial"/>
                <w:sz w:val="20"/>
              </w:rPr>
              <w:t>enum</w:t>
            </w:r>
          </w:p>
        </w:tc>
        <w:tc>
          <w:tcPr>
            <w:tcW w:type="dxa" w:w="3685"/>
          </w:tcPr>
          <w:p>
            <w:r>
              <w:rPr>
                <w:rFonts w:ascii="Arial" w:hAnsi="Arial"/>
                <w:sz w:val="20"/>
              </w:rPr>
              <w:t>TEXT | VIDEO | PDF | AUDIO | INFOGRAPHIC | INTERACTIVE</w:t>
            </w:r>
          </w:p>
        </w:tc>
        <w:tc>
          <w:tcPr>
            <w:tcW w:type="dxa" w:w="2268"/>
          </w:tcPr>
          <w:p>
            <w:r>
              <w:rPr>
                <w:rFonts w:ascii="Arial" w:hAnsi="Arial"/>
                <w:sz w:val="20"/>
              </w:rPr>
              <w:t>PDF</w:t>
            </w:r>
          </w:p>
        </w:tc>
      </w:tr>
      <w:tr>
        <w:tc>
          <w:tcPr>
            <w:tcW w:type="dxa" w:w="2551"/>
            <w:shd w:val="clear" w:color="auto" w:fill="EBF3FB"/>
          </w:tcPr>
          <w:p>
            <w:r>
              <w:rPr>
                <w:rFonts w:ascii="Arial" w:hAnsi="Arial"/>
                <w:sz w:val="20"/>
              </w:rPr>
              <w:t>contentMimeType</w:t>
            </w:r>
          </w:p>
        </w:tc>
        <w:tc>
          <w:tcPr>
            <w:tcW w:type="dxa" w:w="1417"/>
            <w:shd w:val="clear" w:color="auto" w:fill="EBF3FB"/>
          </w:tcPr>
          <w:p>
            <w:r>
              <w:rPr>
                <w:rFonts w:ascii="Arial" w:hAnsi="Arial"/>
                <w:sz w:val="20"/>
              </w:rPr>
              <w:t>string</w:t>
            </w:r>
          </w:p>
        </w:tc>
        <w:tc>
          <w:tcPr>
            <w:tcW w:type="dxa" w:w="3685"/>
            <w:shd w:val="clear" w:color="auto" w:fill="EBF3FB"/>
          </w:tcPr>
          <w:p>
            <w:r>
              <w:rPr>
                <w:rFonts w:ascii="Arial" w:hAnsi="Arial"/>
                <w:sz w:val="20"/>
              </w:rPr>
              <w:t>IANA MIME type of the content</w:t>
            </w:r>
          </w:p>
        </w:tc>
        <w:tc>
          <w:tcPr>
            <w:tcW w:type="dxa" w:w="2268"/>
            <w:shd w:val="clear" w:color="auto" w:fill="EBF3FB"/>
          </w:tcPr>
          <w:p>
            <w:r>
              <w:rPr>
                <w:rFonts w:ascii="Arial" w:hAnsi="Arial"/>
                <w:sz w:val="20"/>
              </w:rPr>
              <w:t>application/pdf</w:t>
            </w:r>
          </w:p>
        </w:tc>
      </w:tr>
      <w:tr>
        <w:tc>
          <w:tcPr>
            <w:tcW w:type="dxa" w:w="2551"/>
          </w:tcPr>
          <w:p>
            <w:r>
              <w:rPr>
                <w:rFonts w:ascii="Arial" w:hAnsi="Arial"/>
                <w:sz w:val="20"/>
              </w:rPr>
              <w:t>contentUrl</w:t>
            </w:r>
          </w:p>
        </w:tc>
        <w:tc>
          <w:tcPr>
            <w:tcW w:type="dxa" w:w="1417"/>
          </w:tcPr>
          <w:p>
            <w:r>
              <w:rPr>
                <w:rFonts w:ascii="Arial" w:hAnsi="Arial"/>
                <w:sz w:val="20"/>
              </w:rPr>
              <w:t>URI</w:t>
            </w:r>
          </w:p>
        </w:tc>
        <w:tc>
          <w:tcPr>
            <w:tcW w:type="dxa" w:w="3685"/>
          </w:tcPr>
          <w:p>
            <w:r>
              <w:rPr>
                <w:rFonts w:ascii="Arial" w:hAnsi="Arial"/>
                <w:sz w:val="20"/>
              </w:rPr>
              <w:t>URL to content (may be access-gated for paid)</w:t>
            </w:r>
          </w:p>
        </w:tc>
        <w:tc>
          <w:tcPr>
            <w:tcW w:type="dxa" w:w="2268"/>
          </w:tcPr>
          <w:p>
            <w:r>
              <w:rPr>
                <w:rFonts w:ascii="Arial" w:hAnsi="Arial"/>
                <w:sz w:val="20"/>
              </w:rPr>
              <w:t>https://icar.org/advisory/onion-blight.pdf</w:t>
            </w:r>
          </w:p>
        </w:tc>
      </w:tr>
      <w:tr>
        <w:tc>
          <w:tcPr>
            <w:tcW w:type="dxa" w:w="2551"/>
            <w:shd w:val="clear" w:color="auto" w:fill="EBF3FB"/>
          </w:tcPr>
          <w:p>
            <w:r>
              <w:rPr>
                <w:rFonts w:ascii="Arial" w:hAnsi="Arial"/>
                <w:sz w:val="20"/>
              </w:rPr>
              <w:t>languages</w:t>
            </w:r>
          </w:p>
        </w:tc>
        <w:tc>
          <w:tcPr>
            <w:tcW w:type="dxa" w:w="1417"/>
            <w:shd w:val="clear" w:color="auto" w:fill="EBF3FB"/>
          </w:tcPr>
          <w:p>
            <w:r>
              <w:rPr>
                <w:rFonts w:ascii="Arial" w:hAnsi="Arial"/>
                <w:sz w:val="20"/>
              </w:rPr>
              <w:t>string[]</w:t>
            </w:r>
          </w:p>
        </w:tc>
        <w:tc>
          <w:tcPr>
            <w:tcW w:type="dxa" w:w="3685"/>
            <w:shd w:val="clear" w:color="auto" w:fill="EBF3FB"/>
          </w:tcPr>
          <w:p>
            <w:r>
              <w:rPr>
                <w:rFonts w:ascii="Arial" w:hAnsi="Arial"/>
                <w:sz w:val="20"/>
              </w:rPr>
              <w:t>ISO 639-1 language codes</w:t>
            </w:r>
          </w:p>
        </w:tc>
        <w:tc>
          <w:tcPr>
            <w:tcW w:type="dxa" w:w="2268"/>
            <w:shd w:val="clear" w:color="auto" w:fill="EBF3FB"/>
          </w:tcPr>
          <w:p>
            <w:r>
              <w:rPr>
                <w:rFonts w:ascii="Arial" w:hAnsi="Arial"/>
                <w:sz w:val="20"/>
              </w:rPr>
              <w:t>["mr", "en"]</w:t>
            </w:r>
          </w:p>
        </w:tc>
      </w:tr>
      <w:tr>
        <w:tc>
          <w:tcPr>
            <w:tcW w:type="dxa" w:w="2551"/>
          </w:tcPr>
          <w:p>
            <w:r>
              <w:rPr>
                <w:rFonts w:ascii="Arial" w:hAnsi="Arial"/>
                <w:sz w:val="20"/>
              </w:rPr>
              <w:t>targetCrops</w:t>
            </w:r>
          </w:p>
        </w:tc>
        <w:tc>
          <w:tcPr>
            <w:tcW w:type="dxa" w:w="1417"/>
          </w:tcPr>
          <w:p>
            <w:r>
              <w:rPr>
                <w:rFonts w:ascii="Arial" w:hAnsi="Arial"/>
                <w:sz w:val="20"/>
              </w:rPr>
              <w:t>string[]</w:t>
            </w:r>
          </w:p>
        </w:tc>
        <w:tc>
          <w:tcPr>
            <w:tcW w:type="dxa" w:w="3685"/>
          </w:tcPr>
          <w:p>
            <w:r>
              <w:rPr>
                <w:rFonts w:ascii="Arial" w:hAnsi="Arial"/>
                <w:sz w:val="20"/>
              </w:rPr>
              <w:t>Common/scientific crop names</w:t>
            </w:r>
          </w:p>
        </w:tc>
        <w:tc>
          <w:tcPr>
            <w:tcW w:type="dxa" w:w="2268"/>
          </w:tcPr>
          <w:p>
            <w:r>
              <w:rPr>
                <w:rFonts w:ascii="Arial" w:hAnsi="Arial"/>
                <w:sz w:val="20"/>
              </w:rPr>
              <w:t>["onion", "Allium cepa"]</w:t>
            </w:r>
          </w:p>
        </w:tc>
      </w:tr>
      <w:tr>
        <w:tc>
          <w:tcPr>
            <w:tcW w:type="dxa" w:w="2551"/>
            <w:shd w:val="clear" w:color="auto" w:fill="EBF3FB"/>
          </w:tcPr>
          <w:p>
            <w:r>
              <w:rPr>
                <w:rFonts w:ascii="Arial" w:hAnsi="Arial"/>
                <w:sz w:val="20"/>
              </w:rPr>
              <w:t>targetDiseases</w:t>
            </w:r>
          </w:p>
        </w:tc>
        <w:tc>
          <w:tcPr>
            <w:tcW w:type="dxa" w:w="1417"/>
            <w:shd w:val="clear" w:color="auto" w:fill="EBF3FB"/>
          </w:tcPr>
          <w:p>
            <w:r>
              <w:rPr>
                <w:rFonts w:ascii="Arial" w:hAnsi="Arial"/>
                <w:sz w:val="20"/>
              </w:rPr>
              <w:t>string[]</w:t>
            </w:r>
          </w:p>
        </w:tc>
        <w:tc>
          <w:tcPr>
            <w:tcW w:type="dxa" w:w="3685"/>
            <w:shd w:val="clear" w:color="auto" w:fill="EBF3FB"/>
          </w:tcPr>
          <w:p>
            <w:r>
              <w:rPr>
                <w:rFonts w:ascii="Arial" w:hAnsi="Arial"/>
                <w:sz w:val="20"/>
              </w:rPr>
              <w:t>Disease or pest names</w:t>
            </w:r>
          </w:p>
        </w:tc>
        <w:tc>
          <w:tcPr>
            <w:tcW w:type="dxa" w:w="2268"/>
            <w:shd w:val="clear" w:color="auto" w:fill="EBF3FB"/>
          </w:tcPr>
          <w:p>
            <w:r>
              <w:rPr>
                <w:rFonts w:ascii="Arial" w:hAnsi="Arial"/>
                <w:sz w:val="20"/>
              </w:rPr>
              <w:t>["Stemphylium Blight"]</w:t>
            </w:r>
          </w:p>
        </w:tc>
      </w:tr>
      <w:tr>
        <w:tc>
          <w:tcPr>
            <w:tcW w:type="dxa" w:w="2551"/>
          </w:tcPr>
          <w:p>
            <w:r>
              <w:rPr>
                <w:rFonts w:ascii="Arial" w:hAnsi="Arial"/>
                <w:sz w:val="20"/>
              </w:rPr>
              <w:t>applicableGrowthStages</w:t>
            </w:r>
          </w:p>
        </w:tc>
        <w:tc>
          <w:tcPr>
            <w:tcW w:type="dxa" w:w="1417"/>
          </w:tcPr>
          <w:p>
            <w:r>
              <w:rPr>
                <w:rFonts w:ascii="Arial" w:hAnsi="Arial"/>
                <w:sz w:val="20"/>
              </w:rPr>
              <w:t>enum[]</w:t>
            </w:r>
          </w:p>
        </w:tc>
        <w:tc>
          <w:tcPr>
            <w:tcW w:type="dxa" w:w="3685"/>
          </w:tcPr>
          <w:p>
            <w:r>
              <w:rPr>
                <w:rFonts w:ascii="Arial" w:hAnsi="Arial"/>
                <w:sz w:val="20"/>
              </w:rPr>
              <w:t>Growth stages: SOWING → POST_HARVEST</w:t>
            </w:r>
          </w:p>
        </w:tc>
        <w:tc>
          <w:tcPr>
            <w:tcW w:type="dxa" w:w="2268"/>
          </w:tcPr>
          <w:p>
            <w:r>
              <w:rPr>
                <w:rFonts w:ascii="Arial" w:hAnsi="Arial"/>
                <w:sz w:val="20"/>
              </w:rPr>
              <w:t>["VEGETATIVE", "MATURATION"]</w:t>
            </w:r>
          </w:p>
        </w:tc>
      </w:tr>
      <w:tr>
        <w:tc>
          <w:tcPr>
            <w:tcW w:type="dxa" w:w="2551"/>
            <w:shd w:val="clear" w:color="auto" w:fill="EBF3FB"/>
          </w:tcPr>
          <w:p>
            <w:r>
              <w:rPr>
                <w:rFonts w:ascii="Arial" w:hAnsi="Arial"/>
                <w:sz w:val="20"/>
              </w:rPr>
              <w:t>cropContext</w:t>
            </w:r>
          </w:p>
        </w:tc>
        <w:tc>
          <w:tcPr>
            <w:tcW w:type="dxa" w:w="1417"/>
            <w:shd w:val="clear" w:color="auto" w:fill="EBF3FB"/>
          </w:tcPr>
          <w:p>
            <w:r>
              <w:rPr>
                <w:rFonts w:ascii="Arial" w:hAnsi="Arial"/>
                <w:sz w:val="20"/>
              </w:rPr>
              <w:t>object</w:t>
            </w:r>
          </w:p>
        </w:tc>
        <w:tc>
          <w:tcPr>
            <w:tcW w:type="dxa" w:w="3685"/>
            <w:shd w:val="clear" w:color="auto" w:fill="EBF3FB"/>
          </w:tcPr>
          <w:p>
            <w:r>
              <w:rPr>
                <w:rFonts w:ascii="Arial" w:hAnsi="Arial"/>
                <w:sz w:val="20"/>
              </w:rPr>
              <w:t>Personalised crop context (optional)</w:t>
            </w:r>
          </w:p>
        </w:tc>
        <w:tc>
          <w:tcPr>
            <w:tcW w:type="dxa" w:w="2268"/>
            <w:shd w:val="clear" w:color="auto" w:fill="EBF3FB"/>
          </w:tcPr>
          <w:p>
            <w:r>
              <w:rPr>
                <w:rFonts w:ascii="Arial" w:hAnsi="Arial"/>
                <w:sz w:val="20"/>
              </w:rPr>
              <w:t>{cropName, cropVariety, plantationDate, ...}</w:t>
            </w:r>
          </w:p>
        </w:tc>
      </w:tr>
      <w:tr>
        <w:tc>
          <w:tcPr>
            <w:tcW w:type="dxa" w:w="2551"/>
          </w:tcPr>
          <w:p>
            <w:r>
              <w:rPr>
                <w:rFonts w:ascii="Arial" w:hAnsi="Arial"/>
                <w:sz w:val="20"/>
              </w:rPr>
              <w:t>advisorySource</w:t>
            </w:r>
          </w:p>
        </w:tc>
        <w:tc>
          <w:tcPr>
            <w:tcW w:type="dxa" w:w="1417"/>
          </w:tcPr>
          <w:p>
            <w:r>
              <w:rPr>
                <w:rFonts w:ascii="Arial" w:hAnsi="Arial"/>
                <w:sz w:val="20"/>
              </w:rPr>
              <w:t>string</w:t>
            </w:r>
          </w:p>
        </w:tc>
        <w:tc>
          <w:tcPr>
            <w:tcW w:type="dxa" w:w="3685"/>
          </w:tcPr>
          <w:p>
            <w:r>
              <w:rPr>
                <w:rFonts w:ascii="Arial" w:hAnsi="Arial"/>
                <w:sz w:val="20"/>
              </w:rPr>
              <w:t>Originating organisation</w:t>
            </w:r>
          </w:p>
        </w:tc>
        <w:tc>
          <w:tcPr>
            <w:tcW w:type="dxa" w:w="2268"/>
          </w:tcPr>
          <w:p>
            <w:r>
              <w:rPr>
                <w:rFonts w:ascii="Arial" w:hAnsi="Arial"/>
                <w:sz w:val="20"/>
              </w:rPr>
              <w:t>ICAR-Directorate of Onion and Garlic Research</w:t>
            </w:r>
          </w:p>
        </w:tc>
      </w:tr>
      <w:tr>
        <w:tc>
          <w:tcPr>
            <w:tcW w:type="dxa" w:w="2551"/>
            <w:shd w:val="clear" w:color="auto" w:fill="EBF3FB"/>
          </w:tcPr>
          <w:p>
            <w:r>
              <w:rPr>
                <w:rFonts w:ascii="Arial" w:hAnsi="Arial"/>
                <w:sz w:val="20"/>
              </w:rPr>
              <w:t>expertCredentials</w:t>
            </w:r>
          </w:p>
        </w:tc>
        <w:tc>
          <w:tcPr>
            <w:tcW w:type="dxa" w:w="1417"/>
            <w:shd w:val="clear" w:color="auto" w:fill="EBF3FB"/>
          </w:tcPr>
          <w:p>
            <w:r>
              <w:rPr>
                <w:rFonts w:ascii="Arial" w:hAnsi="Arial"/>
                <w:sz w:val="20"/>
              </w:rPr>
              <w:t>object</w:t>
            </w:r>
          </w:p>
        </w:tc>
        <w:tc>
          <w:tcPr>
            <w:tcW w:type="dxa" w:w="3685"/>
            <w:shd w:val="clear" w:color="auto" w:fill="EBF3FB"/>
          </w:tcPr>
          <w:p>
            <w:r>
              <w:rPr>
                <w:rFonts w:ascii="Arial" w:hAnsi="Arial"/>
                <w:sz w:val="20"/>
              </w:rPr>
              <w:t>Expert details for credibility</w:t>
            </w:r>
          </w:p>
        </w:tc>
        <w:tc>
          <w:tcPr>
            <w:tcW w:type="dxa" w:w="2268"/>
            <w:shd w:val="clear" w:color="auto" w:fill="EBF3FB"/>
          </w:tcPr>
          <w:p>
            <w:r>
              <w:rPr>
                <w:rFonts w:ascii="Arial" w:hAnsi="Arial"/>
                <w:sz w:val="20"/>
              </w:rPr>
              <w:t>{expertName, institution, qualification}</w:t>
            </w:r>
          </w:p>
        </w:tc>
      </w:tr>
    </w:tbl>
    <w:p/>
    <w:p>
      <w:pPr>
        <w:pStyle w:val="Heading2"/>
      </w:pPr>
      <w:r>
        <w:t>7.3 Offer Attributes (AgriAdvisoryOfferAttributes)</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5C99"/>
          </w:tcPr>
          <w:p>
            <w:pPr>
              <w:jc w:val="center"/>
            </w:pPr>
            <w:r>
              <w:rPr>
                <w:rFonts w:ascii="Arial" w:hAnsi="Arial"/>
                <w:b/>
                <w:color w:val="FFFFFF"/>
                <w:sz w:val="20"/>
              </w:rPr>
              <w:t>Field</w:t>
            </w:r>
          </w:p>
        </w:tc>
        <w:tc>
          <w:tcPr>
            <w:tcW w:type="dxa" w:w="1417"/>
            <w:shd w:val="clear" w:color="auto" w:fill="1F5C99"/>
          </w:tcPr>
          <w:p>
            <w:pPr>
              <w:jc w:val="center"/>
            </w:pPr>
            <w:r>
              <w:rPr>
                <w:rFonts w:ascii="Arial" w:hAnsi="Arial"/>
                <w:b/>
                <w:color w:val="FFFFFF"/>
                <w:sz w:val="20"/>
              </w:rPr>
              <w:t>Type</w:t>
            </w:r>
          </w:p>
        </w:tc>
        <w:tc>
          <w:tcPr>
            <w:tcW w:type="dxa" w:w="5953"/>
            <w:shd w:val="clear" w:color="auto" w:fill="1F5C99"/>
          </w:tcPr>
          <w:p>
            <w:pPr>
              <w:jc w:val="center"/>
            </w:pPr>
            <w:r>
              <w:rPr>
                <w:rFonts w:ascii="Arial" w:hAnsi="Arial"/>
                <w:b/>
                <w:color w:val="FFFFFF"/>
                <w:sz w:val="20"/>
              </w:rPr>
              <w:t>Description</w:t>
            </w:r>
          </w:p>
        </w:tc>
      </w:tr>
      <w:tr>
        <w:tc>
          <w:tcPr>
            <w:tcW w:type="dxa" w:w="2551"/>
            <w:shd w:val="clear" w:color="auto" w:fill="EBF3FB"/>
          </w:tcPr>
          <w:p>
            <w:r>
              <w:rPr>
                <w:rFonts w:ascii="Arial" w:hAnsi="Arial"/>
                <w:sz w:val="20"/>
              </w:rPr>
              <w:t>pricingModel *</w:t>
            </w:r>
          </w:p>
        </w:tc>
        <w:tc>
          <w:tcPr>
            <w:tcW w:type="dxa" w:w="1417"/>
            <w:shd w:val="clear" w:color="auto" w:fill="EBF3FB"/>
          </w:tcPr>
          <w:p>
            <w:r>
              <w:rPr>
                <w:rFonts w:ascii="Arial" w:hAnsi="Arial"/>
                <w:sz w:val="20"/>
              </w:rPr>
              <w:t>enum</w:t>
            </w:r>
          </w:p>
        </w:tc>
        <w:tc>
          <w:tcPr>
            <w:tcW w:type="dxa" w:w="5953"/>
            <w:shd w:val="clear" w:color="auto" w:fill="EBF3FB"/>
          </w:tcPr>
          <w:p>
            <w:r>
              <w:rPr>
                <w:rFonts w:ascii="Arial" w:hAnsi="Arial"/>
                <w:sz w:val="20"/>
              </w:rPr>
              <w:t>FREE | PAID | FREEMIUM | SUBSCRIPTION (required)</w:t>
            </w:r>
          </w:p>
        </w:tc>
      </w:tr>
      <w:tr>
        <w:tc>
          <w:tcPr>
            <w:tcW w:type="dxa" w:w="2551"/>
          </w:tcPr>
          <w:p>
            <w:r>
              <w:rPr>
                <w:rFonts w:ascii="Arial" w:hAnsi="Arial"/>
                <w:sz w:val="20"/>
              </w:rPr>
              <w:t>accessType *</w:t>
            </w:r>
          </w:p>
        </w:tc>
        <w:tc>
          <w:tcPr>
            <w:tcW w:type="dxa" w:w="1417"/>
          </w:tcPr>
          <w:p>
            <w:r>
              <w:rPr>
                <w:rFonts w:ascii="Arial" w:hAnsi="Arial"/>
                <w:sz w:val="20"/>
              </w:rPr>
              <w:t>enum</w:t>
            </w:r>
          </w:p>
        </w:tc>
        <w:tc>
          <w:tcPr>
            <w:tcW w:type="dxa" w:w="5953"/>
          </w:tcPr>
          <w:p>
            <w:r>
              <w:rPr>
                <w:rFonts w:ascii="Arial" w:hAnsi="Arial"/>
                <w:sz w:val="20"/>
              </w:rPr>
              <w:t>OPEN_ACCESS | ONE_TIME_PURCHASE | SUBSCRIPTION_ACCESS | API_KEY_ACCESS (required)</w:t>
            </w:r>
          </w:p>
        </w:tc>
      </w:tr>
      <w:tr>
        <w:tc>
          <w:tcPr>
            <w:tcW w:type="dxa" w:w="2551"/>
            <w:shd w:val="clear" w:color="auto" w:fill="EBF3FB"/>
          </w:tcPr>
          <w:p>
            <w:r>
              <w:rPr>
                <w:rFonts w:ascii="Arial" w:hAnsi="Arial"/>
                <w:sz w:val="20"/>
              </w:rPr>
              <w:t>contentLicense</w:t>
            </w:r>
          </w:p>
        </w:tc>
        <w:tc>
          <w:tcPr>
            <w:tcW w:type="dxa" w:w="1417"/>
            <w:shd w:val="clear" w:color="auto" w:fill="EBF3FB"/>
          </w:tcPr>
          <w:p>
            <w:r>
              <w:rPr>
                <w:rFonts w:ascii="Arial" w:hAnsi="Arial"/>
                <w:sz w:val="20"/>
              </w:rPr>
              <w:t>enum</w:t>
            </w:r>
          </w:p>
        </w:tc>
        <w:tc>
          <w:tcPr>
            <w:tcW w:type="dxa" w:w="5953"/>
            <w:shd w:val="clear" w:color="auto" w:fill="EBF3FB"/>
          </w:tcPr>
          <w:p>
            <w:r>
              <w:rPr>
                <w:rFonts w:ascii="Arial" w:hAnsi="Arial"/>
                <w:sz w:val="20"/>
              </w:rPr>
              <w:t>ALL_RIGHTS_RESERVED | CC_BY | CC_BY_NC | CC_BY_SA | OPEN_GOVERNMENT | PROPRIETARY</w:t>
            </w:r>
          </w:p>
        </w:tc>
      </w:tr>
      <w:tr>
        <w:tc>
          <w:tcPr>
            <w:tcW w:type="dxa" w:w="2551"/>
          </w:tcPr>
          <w:p>
            <w:r>
              <w:rPr>
                <w:rFonts w:ascii="Arial" w:hAnsi="Arial"/>
                <w:sz w:val="20"/>
              </w:rPr>
              <w:t>accessValidityPeriod</w:t>
            </w:r>
          </w:p>
        </w:tc>
        <w:tc>
          <w:tcPr>
            <w:tcW w:type="dxa" w:w="1417"/>
          </w:tcPr>
          <w:p>
            <w:r>
              <w:rPr>
                <w:rFonts w:ascii="Arial" w:hAnsi="Arial"/>
                <w:sz w:val="20"/>
              </w:rPr>
              <w:t>object</w:t>
            </w:r>
          </w:p>
        </w:tc>
        <w:tc>
          <w:tcPr>
            <w:tcW w:type="dxa" w:w="5953"/>
          </w:tcPr>
          <w:p>
            <w:r>
              <w:rPr>
                <w:rFonts w:ascii="Arial" w:hAnsi="Arial"/>
                <w:sz w:val="20"/>
              </w:rPr>
              <w:t>How long buyer retains access: {durationISO, schema:endDate}</w:t>
            </w:r>
          </w:p>
        </w:tc>
      </w:tr>
      <w:tr>
        <w:tc>
          <w:tcPr>
            <w:tcW w:type="dxa" w:w="2551"/>
            <w:shd w:val="clear" w:color="auto" w:fill="EBF3FB"/>
          </w:tcPr>
          <w:p>
            <w:r>
              <w:rPr>
                <w:rFonts w:ascii="Arial" w:hAnsi="Arial"/>
                <w:sz w:val="20"/>
              </w:rPr>
              <w:t>cancellationPolicy</w:t>
            </w:r>
          </w:p>
        </w:tc>
        <w:tc>
          <w:tcPr>
            <w:tcW w:type="dxa" w:w="1417"/>
            <w:shd w:val="clear" w:color="auto" w:fill="EBF3FB"/>
          </w:tcPr>
          <w:p>
            <w:r>
              <w:rPr>
                <w:rFonts w:ascii="Arial" w:hAnsi="Arial"/>
                <w:sz w:val="20"/>
              </w:rPr>
              <w:t>object</w:t>
            </w:r>
          </w:p>
        </w:tc>
        <w:tc>
          <w:tcPr>
            <w:tcW w:type="dxa" w:w="5953"/>
            <w:shd w:val="clear" w:color="auto" w:fill="EBF3FB"/>
          </w:tcPr>
          <w:p>
            <w:r>
              <w:rPr>
                <w:rFonts w:ascii="Arial" w:hAnsi="Arial"/>
                <w:sz w:val="20"/>
              </w:rPr>
              <w:t>{isRefundable, refundWindowHours, refundPercentage, cancellationReasons}</w:t>
            </w:r>
          </w:p>
        </w:tc>
      </w:tr>
      <w:tr>
        <w:tc>
          <w:tcPr>
            <w:tcW w:type="dxa" w:w="2551"/>
          </w:tcPr>
          <w:p>
            <w:r>
              <w:rPr>
                <w:rFonts w:ascii="Arial" w:hAnsi="Arial"/>
                <w:sz w:val="20"/>
              </w:rPr>
              <w:t>trialAvailable</w:t>
            </w:r>
          </w:p>
        </w:tc>
        <w:tc>
          <w:tcPr>
            <w:tcW w:type="dxa" w:w="1417"/>
          </w:tcPr>
          <w:p>
            <w:r>
              <w:rPr>
                <w:rFonts w:ascii="Arial" w:hAnsi="Arial"/>
                <w:sz w:val="20"/>
              </w:rPr>
              <w:t>boolean</w:t>
            </w:r>
          </w:p>
        </w:tc>
        <w:tc>
          <w:tcPr>
            <w:tcW w:type="dxa" w:w="5953"/>
          </w:tcPr>
          <w:p>
            <w:r>
              <w:rPr>
                <w:rFonts w:ascii="Arial" w:hAnsi="Arial"/>
                <w:sz w:val="20"/>
              </w:rPr>
              <w:t>Whether a free preview is available before purchase (default: false)</w:t>
            </w:r>
          </w:p>
        </w:tc>
      </w:tr>
    </w:tbl>
    <w:p/>
    <w:p>
      <w:pPr>
        <w:pStyle w:val="Heading2"/>
      </w:pPr>
      <w:r>
        <w:t>7.4 API Lifecycle</w:t>
      </w:r>
    </w:p>
    <w:p>
      <w:r>
        <w:rPr>
          <w:rFonts w:ascii="Arial" w:hAnsi="Arial"/>
          <w:b w:val="0"/>
          <w:i w:val="0"/>
          <w:sz w:val="22"/>
        </w:rPr>
        <w:t>The lifecycle depends on the pricing model of the item:</w:t>
      </w:r>
    </w:p>
    <w:p>
      <w:pPr>
        <w:pStyle w:val="ListBullet"/>
        <w:ind w:left="360"/>
      </w:pPr>
      <w:r>
        <w:rPr>
          <w:b/>
          <w:sz w:val="22"/>
        </w:rPr>
        <w:t xml:space="preserve">Free flow: </w:t>
      </w:r>
      <w:r>
        <w:rPr>
          <w:rFonts w:ascii="Arial" w:hAnsi="Arial"/>
          <w:sz w:val="22"/>
        </w:rPr>
        <w:t>Free advisories (pricingModel: FREE): The BAP calls discover. The BPP returns the content URL directly in on_discover under CropAdvisoryItemAttributes.contentUrl. No further API calls are required — the farmer's app can present the content immediately.</w:t>
      </w:r>
    </w:p>
    <w:p>
      <w:pPr>
        <w:pStyle w:val="ListBullet"/>
        <w:ind w:left="360"/>
      </w:pPr>
      <w:r>
        <w:rPr>
          <w:b/>
          <w:sz w:val="22"/>
        </w:rPr>
        <w:t xml:space="preserve">Paid flow: </w:t>
      </w:r>
      <w:r>
        <w:rPr>
          <w:rFonts w:ascii="Arial" w:hAnsi="Arial"/>
          <w:sz w:val="22"/>
        </w:rPr>
        <w:t>Paid advisories (pricingModel: PAID or SUBSCRIPTION): The BAP must complete the full transactional lifecycle: discover → select → init → confirm → status (to receive the content access URL post-payment).</w:t>
      </w:r>
    </w:p>
    <w:p/>
    <w:tbl>
      <w:tblPr>
        <w:tblStyle w:val="TableGrid"/>
        <w:tblW w:type="auto" w:w="0"/>
        <w:jc w:val="left"/>
        <w:tblLook w:firstColumn="1" w:firstRow="1" w:lastColumn="0" w:lastRow="0" w:noHBand="0" w:noVBand="1" w:val="04A0"/>
      </w:tblPr>
      <w:tblGrid>
        <w:gridCol w:w="2160"/>
        <w:gridCol w:w="2160"/>
        <w:gridCol w:w="2160"/>
        <w:gridCol w:w="2160"/>
      </w:tblGrid>
      <w:tr>
        <w:tc>
          <w:tcPr>
            <w:tcW w:type="dxa" w:w="1417"/>
            <w:shd w:val="clear" w:color="auto" w:fill="1F5C99"/>
          </w:tcPr>
          <w:p>
            <w:pPr>
              <w:jc w:val="center"/>
            </w:pPr>
            <w:r>
              <w:rPr>
                <w:rFonts w:ascii="Arial" w:hAnsi="Arial"/>
                <w:b/>
                <w:color w:val="FFFFFF"/>
                <w:sz w:val="20"/>
              </w:rPr>
              <w:t>API Call</w:t>
            </w:r>
          </w:p>
        </w:tc>
        <w:tc>
          <w:tcPr>
            <w:tcW w:type="dxa" w:w="1417"/>
            <w:shd w:val="clear" w:color="auto" w:fill="1F5C99"/>
          </w:tcPr>
          <w:p>
            <w:pPr>
              <w:jc w:val="center"/>
            </w:pPr>
            <w:r>
              <w:rPr>
                <w:rFonts w:ascii="Arial" w:hAnsi="Arial"/>
                <w:b/>
                <w:color w:val="FFFFFF"/>
                <w:sz w:val="20"/>
              </w:rPr>
              <w:t>Initiated By</w:t>
            </w:r>
          </w:p>
        </w:tc>
        <w:tc>
          <w:tcPr>
            <w:tcW w:type="dxa" w:w="3402"/>
            <w:shd w:val="clear" w:color="auto" w:fill="1F5C99"/>
          </w:tcPr>
          <w:p>
            <w:pPr>
              <w:jc w:val="center"/>
            </w:pPr>
            <w:r>
              <w:rPr>
                <w:rFonts w:ascii="Arial" w:hAnsi="Arial"/>
                <w:b/>
                <w:color w:val="FFFFFF"/>
                <w:sz w:val="20"/>
              </w:rPr>
              <w:t>BAP Sends</w:t>
            </w:r>
          </w:p>
        </w:tc>
        <w:tc>
          <w:tcPr>
            <w:tcW w:type="dxa" w:w="3685"/>
            <w:shd w:val="clear" w:color="auto" w:fill="1F5C99"/>
          </w:tcPr>
          <w:p>
            <w:pPr>
              <w:jc w:val="center"/>
            </w:pPr>
            <w:r>
              <w:rPr>
                <w:rFonts w:ascii="Arial" w:hAnsi="Arial"/>
                <w:b/>
                <w:color w:val="FFFFFF"/>
                <w:sz w:val="20"/>
              </w:rPr>
              <w:t>BPP Responds</w:t>
            </w:r>
          </w:p>
        </w:tc>
      </w:tr>
      <w:tr>
        <w:tc>
          <w:tcPr>
            <w:tcW w:type="dxa" w:w="1417"/>
            <w:shd w:val="clear" w:color="auto" w:fill="EBF3FB"/>
          </w:tcPr>
          <w:p>
            <w:r>
              <w:rPr>
                <w:rFonts w:ascii="Arial" w:hAnsi="Arial"/>
                <w:sz w:val="20"/>
              </w:rPr>
              <w:t>discover</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Discover with category=Crop-Advisory, optional language, crop-details in fulfillmentAttributes</w:t>
            </w:r>
          </w:p>
        </w:tc>
        <w:tc>
          <w:tcPr>
            <w:tcW w:type="dxa" w:w="3685"/>
            <w:shd w:val="clear" w:color="auto" w:fill="EBF3FB"/>
          </w:tcPr>
          <w:p>
            <w:r>
              <w:rPr>
                <w:rFonts w:ascii="Arial" w:hAnsi="Arial"/>
                <w:sz w:val="20"/>
              </w:rPr>
              <w:t>Returns catalog of advisory items with itemAttributes, pricing, and (for free items) contentUrl</w:t>
            </w:r>
          </w:p>
        </w:tc>
      </w:tr>
      <w:tr>
        <w:tc>
          <w:tcPr>
            <w:tcW w:type="dxa" w:w="1417"/>
          </w:tcPr>
          <w:p>
            <w:r>
              <w:rPr>
                <w:rFonts w:ascii="Arial" w:hAnsi="Arial"/>
                <w:sz w:val="20"/>
              </w:rPr>
              <w:t>select</w:t>
            </w:r>
          </w:p>
        </w:tc>
        <w:tc>
          <w:tcPr>
            <w:tcW w:type="dxa" w:w="1417"/>
          </w:tcPr>
          <w:p>
            <w:r>
              <w:rPr>
                <w:rFonts w:ascii="Arial" w:hAnsi="Arial"/>
                <w:sz w:val="20"/>
              </w:rPr>
              <w:t>BAP</w:t>
            </w:r>
          </w:p>
        </w:tc>
        <w:tc>
          <w:tcPr>
            <w:tcW w:type="dxa" w:w="3402"/>
          </w:tcPr>
          <w:p>
            <w:r>
              <w:rPr>
                <w:rFonts w:ascii="Arial" w:hAnsi="Arial"/>
                <w:sz w:val="20"/>
              </w:rPr>
              <w:t>Select a specific advisory item and offer</w:t>
            </w:r>
          </w:p>
        </w:tc>
        <w:tc>
          <w:tcPr>
            <w:tcW w:type="dxa" w:w="3685"/>
          </w:tcPr>
          <w:p>
            <w:r>
              <w:rPr>
                <w:rFonts w:ascii="Arial" w:hAnsi="Arial"/>
                <w:sz w:val="20"/>
              </w:rPr>
              <w:t>Returns item details with price quote and cancellation policy</w:t>
            </w:r>
          </w:p>
        </w:tc>
      </w:tr>
      <w:tr>
        <w:tc>
          <w:tcPr>
            <w:tcW w:type="dxa" w:w="1417"/>
            <w:shd w:val="clear" w:color="auto" w:fill="EBF3FB"/>
          </w:tcPr>
          <w:p>
            <w:r>
              <w:rPr>
                <w:rFonts w:ascii="Arial" w:hAnsi="Arial"/>
                <w:sz w:val="20"/>
              </w:rPr>
              <w:t>init</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Provide billing/contact information</w:t>
            </w:r>
          </w:p>
        </w:tc>
        <w:tc>
          <w:tcPr>
            <w:tcW w:type="dxa" w:w="3685"/>
            <w:shd w:val="clear" w:color="auto" w:fill="EBF3FB"/>
          </w:tcPr>
          <w:p>
            <w:r>
              <w:rPr>
                <w:rFonts w:ascii="Arial" w:hAnsi="Arial"/>
                <w:sz w:val="20"/>
              </w:rPr>
              <w:t>Returns draft order with payment breakup and terms</w:t>
            </w:r>
          </w:p>
        </w:tc>
      </w:tr>
      <w:tr>
        <w:tc>
          <w:tcPr>
            <w:tcW w:type="dxa" w:w="1417"/>
          </w:tcPr>
          <w:p>
            <w:r>
              <w:rPr>
                <w:rFonts w:ascii="Arial" w:hAnsi="Arial"/>
                <w:sz w:val="20"/>
              </w:rPr>
              <w:t>confirm</w:t>
            </w:r>
          </w:p>
        </w:tc>
        <w:tc>
          <w:tcPr>
            <w:tcW w:type="dxa" w:w="1417"/>
          </w:tcPr>
          <w:p>
            <w:r>
              <w:rPr>
                <w:rFonts w:ascii="Arial" w:hAnsi="Arial"/>
                <w:sz w:val="20"/>
              </w:rPr>
              <w:t>BAP</w:t>
            </w:r>
          </w:p>
        </w:tc>
        <w:tc>
          <w:tcPr>
            <w:tcW w:type="dxa" w:w="3402"/>
          </w:tcPr>
          <w:p>
            <w:r>
              <w:rPr>
                <w:rFonts w:ascii="Arial" w:hAnsi="Arial"/>
                <w:sz w:val="20"/>
              </w:rPr>
              <w:t>Confirm order and payment reference</w:t>
            </w:r>
          </w:p>
        </w:tc>
        <w:tc>
          <w:tcPr>
            <w:tcW w:type="dxa" w:w="3685"/>
          </w:tcPr>
          <w:p>
            <w:r>
              <w:rPr>
                <w:rFonts w:ascii="Arial" w:hAnsi="Arial"/>
                <w:sz w:val="20"/>
              </w:rPr>
              <w:t>Returns confirmed order with fulfillment ID</w:t>
            </w:r>
          </w:p>
        </w:tc>
      </w:tr>
      <w:tr>
        <w:tc>
          <w:tcPr>
            <w:tcW w:type="dxa" w:w="1417"/>
            <w:shd w:val="clear" w:color="auto" w:fill="EBF3FB"/>
          </w:tcPr>
          <w:p>
            <w:r>
              <w:rPr>
                <w:rFonts w:ascii="Arial" w:hAnsi="Arial"/>
                <w:sz w:val="20"/>
              </w:rPr>
              <w:t>status</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Poll for fulfillment completion</w:t>
            </w:r>
          </w:p>
        </w:tc>
        <w:tc>
          <w:tcPr>
            <w:tcW w:type="dxa" w:w="3685"/>
            <w:shd w:val="clear" w:color="auto" w:fill="EBF3FB"/>
          </w:tcPr>
          <w:p>
            <w:r>
              <w:rPr>
                <w:rFonts w:ascii="Arial" w:hAnsi="Arial"/>
                <w:sz w:val="20"/>
              </w:rPr>
              <w:t>Returns contentAccessUrl and contentAccessExpiry on completion</w:t>
            </w:r>
          </w:p>
        </w:tc>
      </w:tr>
      <w:tr>
        <w:tc>
          <w:tcPr>
            <w:tcW w:type="dxa" w:w="1417"/>
          </w:tcPr>
          <w:p>
            <w:r>
              <w:rPr>
                <w:rFonts w:ascii="Arial" w:hAnsi="Arial"/>
                <w:sz w:val="20"/>
              </w:rPr>
              <w:t>cancel</w:t>
            </w:r>
          </w:p>
        </w:tc>
        <w:tc>
          <w:tcPr>
            <w:tcW w:type="dxa" w:w="1417"/>
          </w:tcPr>
          <w:p>
            <w:r>
              <w:rPr>
                <w:rFonts w:ascii="Arial" w:hAnsi="Arial"/>
                <w:sz w:val="20"/>
              </w:rPr>
              <w:t>BAP</w:t>
            </w:r>
          </w:p>
        </w:tc>
        <w:tc>
          <w:tcPr>
            <w:tcW w:type="dxa" w:w="3402"/>
          </w:tcPr>
          <w:p>
            <w:r>
              <w:rPr>
                <w:rFonts w:ascii="Arial" w:hAnsi="Arial"/>
                <w:sz w:val="20"/>
              </w:rPr>
              <w:t>Cancel order within refund window</w:t>
            </w:r>
          </w:p>
        </w:tc>
        <w:tc>
          <w:tcPr>
            <w:tcW w:type="dxa" w:w="3685"/>
          </w:tcPr>
          <w:p>
            <w:r>
              <w:rPr>
                <w:rFonts w:ascii="Arial" w:hAnsi="Arial"/>
                <w:sz w:val="20"/>
              </w:rPr>
              <w:t>Returns cancellation confirmation and refund details</w:t>
            </w:r>
          </w:p>
        </w:tc>
      </w:tr>
      <w:tr>
        <w:tc>
          <w:tcPr>
            <w:tcW w:type="dxa" w:w="1417"/>
            <w:shd w:val="clear" w:color="auto" w:fill="EBF3FB"/>
          </w:tcPr>
          <w:p>
            <w:r>
              <w:rPr>
                <w:rFonts w:ascii="Arial" w:hAnsi="Arial"/>
                <w:sz w:val="20"/>
              </w:rPr>
              <w:t>support</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Request support contact details</w:t>
            </w:r>
          </w:p>
        </w:tc>
        <w:tc>
          <w:tcPr>
            <w:tcW w:type="dxa" w:w="3685"/>
            <w:shd w:val="clear" w:color="auto" w:fill="EBF3FB"/>
          </w:tcPr>
          <w:p>
            <w:r>
              <w:rPr>
                <w:rFonts w:ascii="Arial" w:hAnsi="Arial"/>
                <w:sz w:val="20"/>
              </w:rPr>
              <w:t>Returns phone number and/or support URL</w:t>
            </w:r>
          </w:p>
        </w:tc>
      </w:tr>
      <w:tr>
        <w:tc>
          <w:tcPr>
            <w:tcW w:type="dxa" w:w="1417"/>
          </w:tcPr>
          <w:p>
            <w:r>
              <w:rPr>
                <w:rFonts w:ascii="Arial" w:hAnsi="Arial"/>
                <w:sz w:val="20"/>
              </w:rPr>
              <w:t>rating</w:t>
            </w:r>
          </w:p>
        </w:tc>
        <w:tc>
          <w:tcPr>
            <w:tcW w:type="dxa" w:w="1417"/>
          </w:tcPr>
          <w:p>
            <w:r>
              <w:rPr>
                <w:rFonts w:ascii="Arial" w:hAnsi="Arial"/>
                <w:sz w:val="20"/>
              </w:rPr>
              <w:t>BAP</w:t>
            </w:r>
          </w:p>
        </w:tc>
        <w:tc>
          <w:tcPr>
            <w:tcW w:type="dxa" w:w="3402"/>
          </w:tcPr>
          <w:p>
            <w:r>
              <w:rPr>
                <w:rFonts w:ascii="Arial" w:hAnsi="Arial"/>
                <w:sz w:val="20"/>
              </w:rPr>
              <w:t>Submit numerical rating (0–5)</w:t>
            </w:r>
          </w:p>
        </w:tc>
        <w:tc>
          <w:tcPr>
            <w:tcW w:type="dxa" w:w="3685"/>
          </w:tcPr>
          <w:p>
            <w:r>
              <w:rPr>
                <w:rFonts w:ascii="Arial" w:hAnsi="Arial"/>
                <w:sz w:val="20"/>
              </w:rPr>
              <w:t>Returns feedback form URL for text feedback</w:t>
            </w:r>
          </w:p>
        </w:tc>
      </w:tr>
    </w:tbl>
    <w:p/>
    <w:p>
      <w:r>
        <w:br w:type="page"/>
      </w:r>
    </w:p>
    <w:p>
      <w:pPr>
        <w:pStyle w:val="Heading1"/>
      </w:pPr>
      <w:r>
        <w:t>8. UC2 — Commodity Price Listing</w:t>
      </w:r>
    </w:p>
    <w:p>
      <w:pPr>
        <w:pStyle w:val="Heading2"/>
      </w:pPr>
      <w:r>
        <w:t>8.1 Overview</w:t>
      </w:r>
    </w:p>
    <w:p>
      <w:r>
        <w:rPr>
          <w:rFonts w:ascii="Arial" w:hAnsi="Arial"/>
          <w:b w:val="0"/>
          <w:i w:val="0"/>
          <w:sz w:val="22"/>
        </w:rPr>
        <w:t>Prashanth, a grape farmer in Sangli, wants to compare mandi prices across multiple APMC markets before deciding where to sell his harvest. Using a Beckn-enabled app, he searches for grape prices within 100 km of his location for the current week. The network returns current-day price data from Sangli APMC, Pune APMC, Nashik APMC, and other nearby markets — showing min, max, and average prices per quintal, along with arrival volumes and price volatility indicators.</w:t>
      </w:r>
    </w:p>
    <w:p>
      <w:pPr>
        <w:shd w:val="clear" w:color="auto" w:fill="FFF9C4"/>
        <w:ind w:left="288" w:right="288"/>
      </w:pPr>
      <w:r>
        <w:rPr>
          <w:b/>
          <w:sz w:val="20"/>
        </w:rPr>
        <w:t xml:space="preserve">No order lifecycle: </w:t>
      </w:r>
      <w:r>
        <w:rPr>
          <w:sz w:val="20"/>
        </w:rPr>
        <w:t>UC2 is a price discovery use case only. There is no select, init, confirm, or cancel flow. Farmers read mandi prices from the on_discover response and use that information to make their own selling decisions outside the Beckn network.</w:t>
      </w:r>
    </w:p>
    <w:p/>
    <w:p>
      <w:pPr>
        <w:pStyle w:val="Heading2"/>
      </w:pPr>
      <w:r>
        <w:t>8.2 Key Item Attributes (CommodityPriceItemAttributes)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val="clear" w:color="auto" w:fill="1F5C99"/>
          </w:tcPr>
          <w:p>
            <w:pPr>
              <w:jc w:val="center"/>
            </w:pPr>
            <w:r>
              <w:rPr>
                <w:rFonts w:ascii="Arial" w:hAnsi="Arial"/>
                <w:b/>
                <w:color w:val="FFFFFF"/>
                <w:sz w:val="20"/>
              </w:rPr>
              <w:t>Field</w:t>
            </w:r>
          </w:p>
        </w:tc>
        <w:tc>
          <w:tcPr>
            <w:tcW w:type="dxa" w:w="1417"/>
            <w:shd w:val="clear" w:color="auto" w:fill="1F5C99"/>
          </w:tcPr>
          <w:p>
            <w:pPr>
              <w:jc w:val="center"/>
            </w:pPr>
            <w:r>
              <w:rPr>
                <w:rFonts w:ascii="Arial" w:hAnsi="Arial"/>
                <w:b/>
                <w:color w:val="FFFFFF"/>
                <w:sz w:val="20"/>
              </w:rPr>
              <w:t>Type</w:t>
            </w:r>
          </w:p>
        </w:tc>
        <w:tc>
          <w:tcPr>
            <w:tcW w:type="dxa" w:w="3685"/>
            <w:shd w:val="clear" w:color="auto" w:fill="1F5C99"/>
          </w:tcPr>
          <w:p>
            <w:pPr>
              <w:jc w:val="center"/>
            </w:pPr>
            <w:r>
              <w:rPr>
                <w:rFonts w:ascii="Arial" w:hAnsi="Arial"/>
                <w:b/>
                <w:color w:val="FFFFFF"/>
                <w:sz w:val="20"/>
              </w:rPr>
              <w:t>Description</w:t>
            </w:r>
          </w:p>
        </w:tc>
        <w:tc>
          <w:tcPr>
            <w:tcW w:type="dxa" w:w="2268"/>
            <w:shd w:val="clear" w:color="auto" w:fill="1F5C99"/>
          </w:tcPr>
          <w:p>
            <w:pPr>
              <w:jc w:val="center"/>
            </w:pPr>
            <w:r>
              <w:rPr>
                <w:rFonts w:ascii="Arial" w:hAnsi="Arial"/>
                <w:b/>
                <w:color w:val="FFFFFF"/>
                <w:sz w:val="20"/>
              </w:rPr>
              <w:t>Example</w:t>
            </w:r>
          </w:p>
        </w:tc>
      </w:tr>
      <w:tr>
        <w:tc>
          <w:tcPr>
            <w:tcW w:type="dxa" w:w="2551"/>
            <w:shd w:val="clear" w:color="auto" w:fill="EBF3FB"/>
          </w:tcPr>
          <w:p>
            <w:r>
              <w:rPr>
                <w:rFonts w:ascii="Arial" w:hAnsi="Arial"/>
                <w:sz w:val="20"/>
              </w:rPr>
              <w:t>commodityName</w:t>
            </w:r>
          </w:p>
        </w:tc>
        <w:tc>
          <w:tcPr>
            <w:tcW w:type="dxa" w:w="1417"/>
            <w:shd w:val="clear" w:color="auto" w:fill="EBF3FB"/>
          </w:tcPr>
          <w:p>
            <w:r>
              <w:rPr>
                <w:rFonts w:ascii="Arial" w:hAnsi="Arial"/>
                <w:sz w:val="20"/>
              </w:rPr>
              <w:t>string</w:t>
            </w:r>
          </w:p>
        </w:tc>
        <w:tc>
          <w:tcPr>
            <w:tcW w:type="dxa" w:w="3685"/>
            <w:shd w:val="clear" w:color="auto" w:fill="EBF3FB"/>
          </w:tcPr>
          <w:p>
            <w:r>
              <w:rPr>
                <w:rFonts w:ascii="Arial" w:hAnsi="Arial"/>
                <w:sz w:val="20"/>
              </w:rPr>
              <w:t>Common commodity name</w:t>
            </w:r>
          </w:p>
        </w:tc>
        <w:tc>
          <w:tcPr>
            <w:tcW w:type="dxa" w:w="2268"/>
            <w:shd w:val="clear" w:color="auto" w:fill="EBF3FB"/>
          </w:tcPr>
          <w:p>
            <w:r>
              <w:rPr>
                <w:rFonts w:ascii="Arial" w:hAnsi="Arial"/>
                <w:sz w:val="20"/>
              </w:rPr>
              <w:t>Grapes</w:t>
            </w:r>
          </w:p>
        </w:tc>
      </w:tr>
      <w:tr>
        <w:tc>
          <w:tcPr>
            <w:tcW w:type="dxa" w:w="2551"/>
          </w:tcPr>
          <w:p>
            <w:r>
              <w:rPr>
                <w:rFonts w:ascii="Arial" w:hAnsi="Arial"/>
                <w:sz w:val="20"/>
              </w:rPr>
              <w:t>commodityCode</w:t>
            </w:r>
          </w:p>
        </w:tc>
        <w:tc>
          <w:tcPr>
            <w:tcW w:type="dxa" w:w="1417"/>
          </w:tcPr>
          <w:p>
            <w:r>
              <w:rPr>
                <w:rFonts w:ascii="Arial" w:hAnsi="Arial"/>
                <w:sz w:val="20"/>
              </w:rPr>
              <w:t>string</w:t>
            </w:r>
          </w:p>
        </w:tc>
        <w:tc>
          <w:tcPr>
            <w:tcW w:type="dxa" w:w="3685"/>
          </w:tcPr>
          <w:p>
            <w:r>
              <w:rPr>
                <w:rFonts w:ascii="Arial" w:hAnsi="Arial"/>
                <w:sz w:val="20"/>
              </w:rPr>
              <w:t>AGMARKNET or FAOSTAT code</w:t>
            </w:r>
          </w:p>
        </w:tc>
        <w:tc>
          <w:tcPr>
            <w:tcW w:type="dxa" w:w="2268"/>
          </w:tcPr>
          <w:p>
            <w:r>
              <w:rPr>
                <w:rFonts w:ascii="Arial" w:hAnsi="Arial"/>
                <w:sz w:val="20"/>
              </w:rPr>
              <w:t>GRP001</w:t>
            </w:r>
          </w:p>
        </w:tc>
      </w:tr>
      <w:tr>
        <w:tc>
          <w:tcPr>
            <w:tcW w:type="dxa" w:w="2551"/>
            <w:shd w:val="clear" w:color="auto" w:fill="EBF3FB"/>
          </w:tcPr>
          <w:p>
            <w:r>
              <w:rPr>
                <w:rFonts w:ascii="Arial" w:hAnsi="Arial"/>
                <w:sz w:val="20"/>
              </w:rPr>
              <w:t>commodityVariety</w:t>
            </w:r>
          </w:p>
        </w:tc>
        <w:tc>
          <w:tcPr>
            <w:tcW w:type="dxa" w:w="1417"/>
            <w:shd w:val="clear" w:color="auto" w:fill="EBF3FB"/>
          </w:tcPr>
          <w:p>
            <w:r>
              <w:rPr>
                <w:rFonts w:ascii="Arial" w:hAnsi="Arial"/>
                <w:sz w:val="20"/>
              </w:rPr>
              <w:t>string</w:t>
            </w:r>
          </w:p>
        </w:tc>
        <w:tc>
          <w:tcPr>
            <w:tcW w:type="dxa" w:w="3685"/>
            <w:shd w:val="clear" w:color="auto" w:fill="EBF3FB"/>
          </w:tcPr>
          <w:p>
            <w:r>
              <w:rPr>
                <w:rFonts w:ascii="Arial" w:hAnsi="Arial"/>
                <w:sz w:val="20"/>
              </w:rPr>
              <w:t>Cultivar or variety</w:t>
            </w:r>
          </w:p>
        </w:tc>
        <w:tc>
          <w:tcPr>
            <w:tcW w:type="dxa" w:w="2268"/>
            <w:shd w:val="clear" w:color="auto" w:fill="EBF3FB"/>
          </w:tcPr>
          <w:p>
            <w:r>
              <w:rPr>
                <w:rFonts w:ascii="Arial" w:hAnsi="Arial"/>
                <w:sz w:val="20"/>
              </w:rPr>
              <w:t>Thompson Seedless</w:t>
            </w:r>
          </w:p>
        </w:tc>
      </w:tr>
      <w:tr>
        <w:tc>
          <w:tcPr>
            <w:tcW w:type="dxa" w:w="2551"/>
          </w:tcPr>
          <w:p>
            <w:r>
              <w:rPr>
                <w:rFonts w:ascii="Arial" w:hAnsi="Arial"/>
                <w:sz w:val="20"/>
              </w:rPr>
              <w:t>commodityGrade</w:t>
            </w:r>
          </w:p>
        </w:tc>
        <w:tc>
          <w:tcPr>
            <w:tcW w:type="dxa" w:w="1417"/>
          </w:tcPr>
          <w:p>
            <w:r>
              <w:rPr>
                <w:rFonts w:ascii="Arial" w:hAnsi="Arial"/>
                <w:sz w:val="20"/>
              </w:rPr>
              <w:t>string</w:t>
            </w:r>
          </w:p>
        </w:tc>
        <w:tc>
          <w:tcPr>
            <w:tcW w:type="dxa" w:w="3685"/>
          </w:tcPr>
          <w:p>
            <w:r>
              <w:rPr>
                <w:rFonts w:ascii="Arial" w:hAnsi="Arial"/>
                <w:sz w:val="20"/>
              </w:rPr>
              <w:t>Quality grade</w:t>
            </w:r>
          </w:p>
        </w:tc>
        <w:tc>
          <w:tcPr>
            <w:tcW w:type="dxa" w:w="2268"/>
          </w:tcPr>
          <w:p>
            <w:r>
              <w:rPr>
                <w:rFonts w:ascii="Arial" w:hAnsi="Arial"/>
                <w:sz w:val="20"/>
              </w:rPr>
              <w:t>A</w:t>
            </w:r>
          </w:p>
        </w:tc>
      </w:tr>
      <w:tr>
        <w:tc>
          <w:tcPr>
            <w:tcW w:type="dxa" w:w="2551"/>
            <w:shd w:val="clear" w:color="auto" w:fill="EBF3FB"/>
          </w:tcPr>
          <w:p>
            <w:r>
              <w:rPr>
                <w:rFonts w:ascii="Arial" w:hAnsi="Arial"/>
                <w:sz w:val="20"/>
              </w:rPr>
              <w:t>mandiName</w:t>
            </w:r>
          </w:p>
        </w:tc>
        <w:tc>
          <w:tcPr>
            <w:tcW w:type="dxa" w:w="1417"/>
            <w:shd w:val="clear" w:color="auto" w:fill="EBF3FB"/>
          </w:tcPr>
          <w:p>
            <w:r>
              <w:rPr>
                <w:rFonts w:ascii="Arial" w:hAnsi="Arial"/>
                <w:sz w:val="20"/>
              </w:rPr>
              <w:t>string</w:t>
            </w:r>
          </w:p>
        </w:tc>
        <w:tc>
          <w:tcPr>
            <w:tcW w:type="dxa" w:w="3685"/>
            <w:shd w:val="clear" w:color="auto" w:fill="EBF3FB"/>
          </w:tcPr>
          <w:p>
            <w:r>
              <w:rPr>
                <w:rFonts w:ascii="Arial" w:hAnsi="Arial"/>
                <w:sz w:val="20"/>
              </w:rPr>
              <w:t>APMC or market name</w:t>
            </w:r>
          </w:p>
        </w:tc>
        <w:tc>
          <w:tcPr>
            <w:tcW w:type="dxa" w:w="2268"/>
            <w:shd w:val="clear" w:color="auto" w:fill="EBF3FB"/>
          </w:tcPr>
          <w:p>
            <w:r>
              <w:rPr>
                <w:rFonts w:ascii="Arial" w:hAnsi="Arial"/>
                <w:sz w:val="20"/>
              </w:rPr>
              <w:t>Sangli APMC</w:t>
            </w:r>
          </w:p>
        </w:tc>
      </w:tr>
      <w:tr>
        <w:tc>
          <w:tcPr>
            <w:tcW w:type="dxa" w:w="2551"/>
          </w:tcPr>
          <w:p>
            <w:r>
              <w:rPr>
                <w:rFonts w:ascii="Arial" w:hAnsi="Arial"/>
                <w:sz w:val="20"/>
              </w:rPr>
              <w:t>mandiCode</w:t>
            </w:r>
          </w:p>
        </w:tc>
        <w:tc>
          <w:tcPr>
            <w:tcW w:type="dxa" w:w="1417"/>
          </w:tcPr>
          <w:p>
            <w:r>
              <w:rPr>
                <w:rFonts w:ascii="Arial" w:hAnsi="Arial"/>
                <w:sz w:val="20"/>
              </w:rPr>
              <w:t>string</w:t>
            </w:r>
          </w:p>
        </w:tc>
        <w:tc>
          <w:tcPr>
            <w:tcW w:type="dxa" w:w="3685"/>
          </w:tcPr>
          <w:p>
            <w:r>
              <w:rPr>
                <w:rFonts w:ascii="Arial" w:hAnsi="Arial"/>
                <w:sz w:val="20"/>
              </w:rPr>
              <w:t>Official market code</w:t>
            </w:r>
          </w:p>
        </w:tc>
        <w:tc>
          <w:tcPr>
            <w:tcW w:type="dxa" w:w="2268"/>
          </w:tcPr>
          <w:p>
            <w:r>
              <w:rPr>
                <w:rFonts w:ascii="Arial" w:hAnsi="Arial"/>
                <w:sz w:val="20"/>
              </w:rPr>
              <w:t>MH-SNG-001</w:t>
            </w:r>
          </w:p>
        </w:tc>
      </w:tr>
      <w:tr>
        <w:tc>
          <w:tcPr>
            <w:tcW w:type="dxa" w:w="2551"/>
            <w:shd w:val="clear" w:color="auto" w:fill="EBF3FB"/>
          </w:tcPr>
          <w:p>
            <w:r>
              <w:rPr>
                <w:rFonts w:ascii="Arial" w:hAnsi="Arial"/>
                <w:sz w:val="20"/>
              </w:rPr>
              <w:t>priceObservationPeriod</w:t>
            </w:r>
          </w:p>
        </w:tc>
        <w:tc>
          <w:tcPr>
            <w:tcW w:type="dxa" w:w="1417"/>
            <w:shd w:val="clear" w:color="auto" w:fill="EBF3FB"/>
          </w:tcPr>
          <w:p>
            <w:r>
              <w:rPr>
                <w:rFonts w:ascii="Arial" w:hAnsi="Arial"/>
                <w:sz w:val="20"/>
              </w:rPr>
              <w:t>object</w:t>
            </w:r>
          </w:p>
        </w:tc>
        <w:tc>
          <w:tcPr>
            <w:tcW w:type="dxa" w:w="3685"/>
            <w:shd w:val="clear" w:color="auto" w:fill="EBF3FB"/>
          </w:tcPr>
          <w:p>
            <w:r>
              <w:rPr>
                <w:rFonts w:ascii="Arial" w:hAnsi="Arial"/>
                <w:sz w:val="20"/>
              </w:rPr>
              <w:t>{startDate, endDate} — observation window</w:t>
            </w:r>
          </w:p>
        </w:tc>
        <w:tc>
          <w:tcPr>
            <w:tcW w:type="dxa" w:w="2268"/>
            <w:shd w:val="clear" w:color="auto" w:fill="EBF3FB"/>
          </w:tcPr>
          <w:p>
            <w:r>
              <w:rPr>
                <w:rFonts w:ascii="Arial" w:hAnsi="Arial"/>
                <w:sz w:val="20"/>
              </w:rPr>
              <w:t>{2024-03-10, 2024-03-10}</w:t>
            </w:r>
          </w:p>
        </w:tc>
      </w:tr>
      <w:tr>
        <w:tc>
          <w:tcPr>
            <w:tcW w:type="dxa" w:w="2551"/>
          </w:tcPr>
          <w:p>
            <w:r>
              <w:rPr>
                <w:rFonts w:ascii="Arial" w:hAnsi="Arial"/>
                <w:sz w:val="20"/>
              </w:rPr>
              <w:t>priceSource</w:t>
            </w:r>
          </w:p>
        </w:tc>
        <w:tc>
          <w:tcPr>
            <w:tcW w:type="dxa" w:w="1417"/>
          </w:tcPr>
          <w:p>
            <w:r>
              <w:rPr>
                <w:rFonts w:ascii="Arial" w:hAnsi="Arial"/>
                <w:sz w:val="20"/>
              </w:rPr>
              <w:t>string</w:t>
            </w:r>
          </w:p>
        </w:tc>
        <w:tc>
          <w:tcPr>
            <w:tcW w:type="dxa" w:w="3685"/>
          </w:tcPr>
          <w:p>
            <w:r>
              <w:rPr>
                <w:rFonts w:ascii="Arial" w:hAnsi="Arial"/>
                <w:sz w:val="20"/>
              </w:rPr>
              <w:t>Data source: AGMARKNET, e-NAM, NHB, etc.</w:t>
            </w:r>
          </w:p>
        </w:tc>
        <w:tc>
          <w:tcPr>
            <w:tcW w:type="dxa" w:w="2268"/>
          </w:tcPr>
          <w:p>
            <w:r>
              <w:rPr>
                <w:rFonts w:ascii="Arial" w:hAnsi="Arial"/>
                <w:sz w:val="20"/>
              </w:rPr>
              <w:t>AGMARKNET</w:t>
            </w:r>
          </w:p>
        </w:tc>
      </w:tr>
      <w:tr>
        <w:tc>
          <w:tcPr>
            <w:tcW w:type="dxa" w:w="2551"/>
            <w:shd w:val="clear" w:color="auto" w:fill="EBF3FB"/>
          </w:tcPr>
          <w:p>
            <w:r>
              <w:rPr>
                <w:rFonts w:ascii="Arial" w:hAnsi="Arial"/>
                <w:sz w:val="20"/>
              </w:rPr>
              <w:t>dataLicense</w:t>
            </w:r>
          </w:p>
        </w:tc>
        <w:tc>
          <w:tcPr>
            <w:tcW w:type="dxa" w:w="1417"/>
            <w:shd w:val="clear" w:color="auto" w:fill="EBF3FB"/>
          </w:tcPr>
          <w:p>
            <w:r>
              <w:rPr>
                <w:rFonts w:ascii="Arial" w:hAnsi="Arial"/>
                <w:sz w:val="20"/>
              </w:rPr>
              <w:t>string</w:t>
            </w:r>
          </w:p>
        </w:tc>
        <w:tc>
          <w:tcPr>
            <w:tcW w:type="dxa" w:w="3685"/>
            <w:shd w:val="clear" w:color="auto" w:fill="EBF3FB"/>
          </w:tcPr>
          <w:p>
            <w:r>
              <w:rPr>
                <w:rFonts w:ascii="Arial" w:hAnsi="Arial"/>
                <w:sz w:val="20"/>
              </w:rPr>
              <w:t>GODL, CC-BY, etc.</w:t>
            </w:r>
          </w:p>
        </w:tc>
        <w:tc>
          <w:tcPr>
            <w:tcW w:type="dxa" w:w="2268"/>
            <w:shd w:val="clear" w:color="auto" w:fill="EBF3FB"/>
          </w:tcPr>
          <w:p>
            <w:r>
              <w:rPr>
                <w:rFonts w:ascii="Arial" w:hAnsi="Arial"/>
                <w:sz w:val="20"/>
              </w:rPr>
              <w:t>GODL</w:t>
            </w:r>
          </w:p>
        </w:tc>
      </w:tr>
    </w:tbl>
    <w:p/>
    <w:p>
      <w:pPr>
        <w:pStyle w:val="Heading2"/>
      </w:pPr>
      <w:r>
        <w:t>8.3 Offer Attributes (CommodityMarketOfferAttributes)</w:t>
      </w:r>
    </w:p>
    <w:p>
      <w:r>
        <w:rPr>
          <w:rFonts w:ascii="Arial" w:hAnsi="Arial"/>
          <w:b w:val="0"/>
          <w:i w:val="0"/>
          <w:sz w:val="22"/>
        </w:rPr>
        <w:t>In Beckn v2, price range data moves from the Item to the Offer. This reflects the principle that intrinsic attributes (what the commodity is) live on the Item, while commercial observations (today's price range at a specific mandi) are commercial data that live on the Offer.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val="clear" w:color="auto" w:fill="1F5C99"/>
          </w:tcPr>
          <w:p>
            <w:pPr>
              <w:jc w:val="center"/>
            </w:pPr>
            <w:r>
              <w:rPr>
                <w:rFonts w:ascii="Arial" w:hAnsi="Arial"/>
                <w:b/>
                <w:color w:val="FFFFFF"/>
                <w:sz w:val="20"/>
              </w:rPr>
              <w:t>Field</w:t>
            </w:r>
          </w:p>
        </w:tc>
        <w:tc>
          <w:tcPr>
            <w:tcW w:type="dxa" w:w="1417"/>
            <w:shd w:val="clear" w:color="auto" w:fill="1F5C99"/>
          </w:tcPr>
          <w:p>
            <w:pPr>
              <w:jc w:val="center"/>
            </w:pPr>
            <w:r>
              <w:rPr>
                <w:rFonts w:ascii="Arial" w:hAnsi="Arial"/>
                <w:b/>
                <w:color w:val="FFFFFF"/>
                <w:sz w:val="20"/>
              </w:rPr>
              <w:t>Type</w:t>
            </w:r>
          </w:p>
        </w:tc>
        <w:tc>
          <w:tcPr>
            <w:tcW w:type="dxa" w:w="3685"/>
            <w:shd w:val="clear" w:color="auto" w:fill="1F5C99"/>
          </w:tcPr>
          <w:p>
            <w:pPr>
              <w:jc w:val="center"/>
            </w:pPr>
            <w:r>
              <w:rPr>
                <w:rFonts w:ascii="Arial" w:hAnsi="Arial"/>
                <w:b/>
                <w:color w:val="FFFFFF"/>
                <w:sz w:val="20"/>
              </w:rPr>
              <w:t>Description</w:t>
            </w:r>
          </w:p>
        </w:tc>
        <w:tc>
          <w:tcPr>
            <w:tcW w:type="dxa" w:w="2268"/>
            <w:shd w:val="clear" w:color="auto" w:fill="1F5C99"/>
          </w:tcPr>
          <w:p>
            <w:pPr>
              <w:jc w:val="center"/>
            </w:pPr>
            <w:r>
              <w:rPr>
                <w:rFonts w:ascii="Arial" w:hAnsi="Arial"/>
                <w:b/>
                <w:color w:val="FFFFFF"/>
                <w:sz w:val="20"/>
              </w:rPr>
              <w:t>Example</w:t>
            </w:r>
          </w:p>
        </w:tc>
      </w:tr>
      <w:tr>
        <w:tc>
          <w:tcPr>
            <w:tcW w:type="dxa" w:w="2551"/>
            <w:shd w:val="clear" w:color="auto" w:fill="EBF3FB"/>
          </w:tcPr>
          <w:p>
            <w:r>
              <w:rPr>
                <w:rFonts w:ascii="Arial" w:hAnsi="Arial"/>
                <w:sz w:val="20"/>
              </w:rPr>
              <w:t>minPrice</w:t>
            </w:r>
          </w:p>
        </w:tc>
        <w:tc>
          <w:tcPr>
            <w:tcW w:type="dxa" w:w="1417"/>
            <w:shd w:val="clear" w:color="auto" w:fill="EBF3FB"/>
          </w:tcPr>
          <w:p>
            <w:r>
              <w:rPr>
                <w:rFonts w:ascii="Arial" w:hAnsi="Arial"/>
                <w:sz w:val="20"/>
              </w:rPr>
              <w:t>number</w:t>
            </w:r>
          </w:p>
        </w:tc>
        <w:tc>
          <w:tcPr>
            <w:tcW w:type="dxa" w:w="3685"/>
            <w:shd w:val="clear" w:color="auto" w:fill="EBF3FB"/>
          </w:tcPr>
          <w:p>
            <w:r>
              <w:rPr>
                <w:rFonts w:ascii="Arial" w:hAnsi="Arial"/>
                <w:sz w:val="20"/>
              </w:rPr>
              <w:t>Minimum observed price in the period</w:t>
            </w:r>
          </w:p>
        </w:tc>
        <w:tc>
          <w:tcPr>
            <w:tcW w:type="dxa" w:w="2268"/>
            <w:shd w:val="clear" w:color="auto" w:fill="EBF3FB"/>
          </w:tcPr>
          <w:p>
            <w:r>
              <w:rPr>
                <w:rFonts w:ascii="Arial" w:hAnsi="Arial"/>
                <w:sz w:val="20"/>
              </w:rPr>
              <w:t>3800</w:t>
            </w:r>
          </w:p>
        </w:tc>
      </w:tr>
      <w:tr>
        <w:tc>
          <w:tcPr>
            <w:tcW w:type="dxa" w:w="2551"/>
          </w:tcPr>
          <w:p>
            <w:r>
              <w:rPr>
                <w:rFonts w:ascii="Arial" w:hAnsi="Arial"/>
                <w:sz w:val="20"/>
              </w:rPr>
              <w:t>maxPrice</w:t>
            </w:r>
          </w:p>
        </w:tc>
        <w:tc>
          <w:tcPr>
            <w:tcW w:type="dxa" w:w="1417"/>
          </w:tcPr>
          <w:p>
            <w:r>
              <w:rPr>
                <w:rFonts w:ascii="Arial" w:hAnsi="Arial"/>
                <w:sz w:val="20"/>
              </w:rPr>
              <w:t>number</w:t>
            </w:r>
          </w:p>
        </w:tc>
        <w:tc>
          <w:tcPr>
            <w:tcW w:type="dxa" w:w="3685"/>
          </w:tcPr>
          <w:p>
            <w:r>
              <w:rPr>
                <w:rFonts w:ascii="Arial" w:hAnsi="Arial"/>
                <w:sz w:val="20"/>
              </w:rPr>
              <w:t>Maximum observed price in the period</w:t>
            </w:r>
          </w:p>
        </w:tc>
        <w:tc>
          <w:tcPr>
            <w:tcW w:type="dxa" w:w="2268"/>
          </w:tcPr>
          <w:p>
            <w:r>
              <w:rPr>
                <w:rFonts w:ascii="Arial" w:hAnsi="Arial"/>
                <w:sz w:val="20"/>
              </w:rPr>
              <w:t>5200</w:t>
            </w:r>
          </w:p>
        </w:tc>
      </w:tr>
      <w:tr>
        <w:tc>
          <w:tcPr>
            <w:tcW w:type="dxa" w:w="2551"/>
            <w:shd w:val="clear" w:color="auto" w:fill="EBF3FB"/>
          </w:tcPr>
          <w:p>
            <w:r>
              <w:rPr>
                <w:rFonts w:ascii="Arial" w:hAnsi="Arial"/>
                <w:sz w:val="20"/>
              </w:rPr>
              <w:t>averagePrice</w:t>
            </w:r>
          </w:p>
        </w:tc>
        <w:tc>
          <w:tcPr>
            <w:tcW w:type="dxa" w:w="1417"/>
            <w:shd w:val="clear" w:color="auto" w:fill="EBF3FB"/>
          </w:tcPr>
          <w:p>
            <w:r>
              <w:rPr>
                <w:rFonts w:ascii="Arial" w:hAnsi="Arial"/>
                <w:sz w:val="20"/>
              </w:rPr>
              <w:t>number</w:t>
            </w:r>
          </w:p>
        </w:tc>
        <w:tc>
          <w:tcPr>
            <w:tcW w:type="dxa" w:w="3685"/>
            <w:shd w:val="clear" w:color="auto" w:fill="EBF3FB"/>
          </w:tcPr>
          <w:p>
            <w:r>
              <w:rPr>
                <w:rFonts w:ascii="Arial" w:hAnsi="Arial"/>
                <w:sz w:val="20"/>
              </w:rPr>
              <w:t>Average/modal price (maps to v1 estimated_value)</w:t>
            </w:r>
          </w:p>
        </w:tc>
        <w:tc>
          <w:tcPr>
            <w:tcW w:type="dxa" w:w="2268"/>
            <w:shd w:val="clear" w:color="auto" w:fill="EBF3FB"/>
          </w:tcPr>
          <w:p>
            <w:r>
              <w:rPr>
                <w:rFonts w:ascii="Arial" w:hAnsi="Arial"/>
                <w:sz w:val="20"/>
              </w:rPr>
              <w:t>4500</w:t>
            </w:r>
          </w:p>
        </w:tc>
      </w:tr>
      <w:tr>
        <w:tc>
          <w:tcPr>
            <w:tcW w:type="dxa" w:w="2551"/>
          </w:tcPr>
          <w:p>
            <w:r>
              <w:rPr>
                <w:rFonts w:ascii="Arial" w:hAnsi="Arial"/>
                <w:sz w:val="20"/>
              </w:rPr>
              <w:t>currency</w:t>
            </w:r>
          </w:p>
        </w:tc>
        <w:tc>
          <w:tcPr>
            <w:tcW w:type="dxa" w:w="1417"/>
          </w:tcPr>
          <w:p>
            <w:r>
              <w:rPr>
                <w:rFonts w:ascii="Arial" w:hAnsi="Arial"/>
                <w:sz w:val="20"/>
              </w:rPr>
              <w:t>string</w:t>
            </w:r>
          </w:p>
        </w:tc>
        <w:tc>
          <w:tcPr>
            <w:tcW w:type="dxa" w:w="3685"/>
          </w:tcPr>
          <w:p>
            <w:r>
              <w:rPr>
                <w:rFonts w:ascii="Arial" w:hAnsi="Arial"/>
                <w:sz w:val="20"/>
              </w:rPr>
              <w:t>ISO 4217 currency code</w:t>
            </w:r>
          </w:p>
        </w:tc>
        <w:tc>
          <w:tcPr>
            <w:tcW w:type="dxa" w:w="2268"/>
          </w:tcPr>
          <w:p>
            <w:r>
              <w:rPr>
                <w:rFonts w:ascii="Arial" w:hAnsi="Arial"/>
                <w:sz w:val="20"/>
              </w:rPr>
              <w:t>INR</w:t>
            </w:r>
          </w:p>
        </w:tc>
      </w:tr>
      <w:tr>
        <w:tc>
          <w:tcPr>
            <w:tcW w:type="dxa" w:w="2551"/>
            <w:shd w:val="clear" w:color="auto" w:fill="EBF3FB"/>
          </w:tcPr>
          <w:p>
            <w:r>
              <w:rPr>
                <w:rFonts w:ascii="Arial" w:hAnsi="Arial"/>
                <w:sz w:val="20"/>
              </w:rPr>
              <w:t>unitOfMeasure</w:t>
            </w:r>
          </w:p>
        </w:tc>
        <w:tc>
          <w:tcPr>
            <w:tcW w:type="dxa" w:w="1417"/>
            <w:shd w:val="clear" w:color="auto" w:fill="EBF3FB"/>
          </w:tcPr>
          <w:p>
            <w:r>
              <w:rPr>
                <w:rFonts w:ascii="Arial" w:hAnsi="Arial"/>
                <w:sz w:val="20"/>
              </w:rPr>
              <w:t>string</w:t>
            </w:r>
          </w:p>
        </w:tc>
        <w:tc>
          <w:tcPr>
            <w:tcW w:type="dxa" w:w="3685"/>
            <w:shd w:val="clear" w:color="auto" w:fill="EBF3FB"/>
          </w:tcPr>
          <w:p>
            <w:r>
              <w:rPr>
                <w:rFonts w:ascii="Arial" w:hAnsi="Arial"/>
                <w:sz w:val="20"/>
              </w:rPr>
              <w:t>Price unit</w:t>
            </w:r>
          </w:p>
        </w:tc>
        <w:tc>
          <w:tcPr>
            <w:tcW w:type="dxa" w:w="2268"/>
            <w:shd w:val="clear" w:color="auto" w:fill="EBF3FB"/>
          </w:tcPr>
          <w:p>
            <w:r>
              <w:rPr>
                <w:rFonts w:ascii="Arial" w:hAnsi="Arial"/>
                <w:sz w:val="20"/>
              </w:rPr>
              <w:t>per Quintal</w:t>
            </w:r>
          </w:p>
        </w:tc>
      </w:tr>
      <w:tr>
        <w:tc>
          <w:tcPr>
            <w:tcW w:type="dxa" w:w="2551"/>
          </w:tcPr>
          <w:p>
            <w:r>
              <w:rPr>
                <w:rFonts w:ascii="Arial" w:hAnsi="Arial"/>
                <w:sz w:val="20"/>
              </w:rPr>
              <w:t>priceVolatilityIndicator</w:t>
            </w:r>
          </w:p>
        </w:tc>
        <w:tc>
          <w:tcPr>
            <w:tcW w:type="dxa" w:w="1417"/>
          </w:tcPr>
          <w:p>
            <w:r>
              <w:rPr>
                <w:rFonts w:ascii="Arial" w:hAnsi="Arial"/>
                <w:sz w:val="20"/>
              </w:rPr>
              <w:t>enum</w:t>
            </w:r>
          </w:p>
        </w:tc>
        <w:tc>
          <w:tcPr>
            <w:tcW w:type="dxa" w:w="3685"/>
          </w:tcPr>
          <w:p>
            <w:r>
              <w:rPr>
                <w:rFonts w:ascii="Arial" w:hAnsi="Arial"/>
                <w:sz w:val="20"/>
              </w:rPr>
              <w:t>LOW | MODERATE | HIGH | VERY_HIGH</w:t>
            </w:r>
          </w:p>
        </w:tc>
        <w:tc>
          <w:tcPr>
            <w:tcW w:type="dxa" w:w="2268"/>
          </w:tcPr>
          <w:p>
            <w:r>
              <w:rPr>
                <w:rFonts w:ascii="Arial" w:hAnsi="Arial"/>
                <w:sz w:val="20"/>
              </w:rPr>
              <w:t>MODERATE</w:t>
            </w:r>
          </w:p>
        </w:tc>
      </w:tr>
      <w:tr>
        <w:tc>
          <w:tcPr>
            <w:tcW w:type="dxa" w:w="2551"/>
            <w:shd w:val="clear" w:color="auto" w:fill="EBF3FB"/>
          </w:tcPr>
          <w:p>
            <w:r>
              <w:rPr>
                <w:rFonts w:ascii="Arial" w:hAnsi="Arial"/>
                <w:sz w:val="20"/>
              </w:rPr>
              <w:t>arrivals</w:t>
            </w:r>
          </w:p>
        </w:tc>
        <w:tc>
          <w:tcPr>
            <w:tcW w:type="dxa" w:w="1417"/>
            <w:shd w:val="clear" w:color="auto" w:fill="EBF3FB"/>
          </w:tcPr>
          <w:p>
            <w:r>
              <w:rPr>
                <w:rFonts w:ascii="Arial" w:hAnsi="Arial"/>
                <w:sz w:val="20"/>
              </w:rPr>
              <w:t>object</w:t>
            </w:r>
          </w:p>
        </w:tc>
        <w:tc>
          <w:tcPr>
            <w:tcW w:type="dxa" w:w="3685"/>
            <w:shd w:val="clear" w:color="auto" w:fill="EBF3FB"/>
          </w:tcPr>
          <w:p>
            <w:r>
              <w:rPr>
                <w:rFonts w:ascii="Arial" w:hAnsi="Arial"/>
                <w:sz w:val="20"/>
              </w:rPr>
              <w:t>{quantity, unit} — mandi arrivals volume</w:t>
            </w:r>
          </w:p>
        </w:tc>
        <w:tc>
          <w:tcPr>
            <w:tcW w:type="dxa" w:w="2268"/>
            <w:shd w:val="clear" w:color="auto" w:fill="EBF3FB"/>
          </w:tcPr>
          <w:p>
            <w:r>
              <w:rPr>
                <w:rFonts w:ascii="Arial" w:hAnsi="Arial"/>
                <w:sz w:val="20"/>
              </w:rPr>
              <w:t>{250, Quintal}</w:t>
            </w:r>
          </w:p>
        </w:tc>
      </w:tr>
    </w:tbl>
    <w:p/>
    <w:p>
      <w:pPr>
        <w:shd w:val="clear" w:color="auto" w:fill="FFF9C4"/>
        <w:ind w:left="288" w:right="288"/>
      </w:pPr>
      <w:r>
        <w:rPr>
          <w:b/>
          <w:sz w:val="20"/>
        </w:rPr>
        <w:t xml:space="preserve">v1 migration note: </w:t>
      </w:r>
      <w:r>
        <w:rPr>
          <w:sz w:val="20"/>
        </w:rPr>
        <w:t>In Beckn v1, item.price.minimum_value, maximum_value, and estimated_value all lived on the Item. In v2, the full price range moves to CommodityMarketOfferAttributes. The core beckn:price on the Offer carries the single representative (modal) price for discoverability.</w:t>
      </w:r>
    </w:p>
    <w:p/>
    <w:p>
      <w:pPr>
        <w:pStyle w:val="Heading2"/>
      </w:pPr>
      <w:r>
        <w:t>8.4 Fulfillment Attributes for UC2 Search</w:t>
      </w:r>
    </w:p>
    <w:p>
      <w:r>
        <w:rPr>
          <w:rFonts w:ascii="Arial" w:hAnsi="Arial"/>
          <w:b w:val="0"/>
          <w:i w:val="0"/>
          <w:sz w:val="22"/>
        </w:rPr>
        <w:t>For UC2, geographic and temporal discover parameters are expressed through AgriAdvisoryFulfillmentAttributes in the discover intent:</w:t>
      </w:r>
    </w:p>
    <w:p>
      <w:pPr>
        <w:pStyle w:val="ListBullet"/>
        <w:ind w:left="360"/>
      </w:pPr>
      <w:r>
        <w:rPr>
          <w:rFonts w:ascii="Arial" w:hAnsi="Arial"/>
          <w:sz w:val="22"/>
        </w:rPr>
        <w:t>targetLocation — GeoJSON Point with the farmer's GPS coordinates (lat, lon) as the centre of the search circle.</w:t>
      </w:r>
    </w:p>
    <w:p>
      <w:pPr>
        <w:pStyle w:val="ListBullet"/>
        <w:ind w:left="360"/>
      </w:pPr>
      <w:r>
        <w:rPr>
          <w:rFonts w:ascii="Arial" w:hAnsi="Arial"/>
          <w:sz w:val="22"/>
        </w:rPr>
        <w:t>targetRegionRadiusKm — Search radius in kilometres around targetLocation.</w:t>
      </w:r>
    </w:p>
    <w:p>
      <w:pPr>
        <w:pStyle w:val="ListBullet"/>
        <w:ind w:left="360"/>
      </w:pPr>
      <w:r>
        <w:rPr>
          <w:rFonts w:ascii="Arial" w:hAnsi="Arial"/>
          <w:sz w:val="22"/>
        </w:rPr>
        <w:t>priceQueryTimeRange — {startDate, endDate} defining the observation period for price data.</w:t>
      </w:r>
    </w:p>
    <w:p>
      <w:pPr>
        <w:pStyle w:val="ListBullet"/>
        <w:ind w:left="360"/>
      </w:pPr>
      <w:r>
        <w:rPr>
          <w:rFonts w:ascii="Arial" w:hAnsi="Arial"/>
          <w:sz w:val="22"/>
        </w:rPr>
        <w:t>requestedLanguage — ISO 639-1 code for the preferred language of mandi names and descriptions.</w:t>
      </w:r>
    </w:p>
    <w:p>
      <w:pPr>
        <w:pStyle w:val="Heading2"/>
      </w:pPr>
      <w:r>
        <w:t>8.5 API Lifecycle</w:t>
      </w:r>
    </w:p>
    <w:p>
      <w:r>
        <w:rPr>
          <w:rFonts w:ascii="Arial" w:hAnsi="Arial"/>
          <w:b w:val="0"/>
          <w:i w:val="0"/>
          <w:sz w:val="22"/>
        </w:rPr>
        <w:t>UC2 is a discover-only use case. No order lifecycle (select, init, confirm) applies. The BAP initiates a discover request; the BPP returns price catalog data in on_discover.</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417"/>
            <w:shd w:val="clear" w:color="auto" w:fill="1F5C99"/>
          </w:tcPr>
          <w:p>
            <w:pPr>
              <w:jc w:val="center"/>
            </w:pPr>
            <w:r>
              <w:rPr>
                <w:rFonts w:ascii="Arial" w:hAnsi="Arial"/>
                <w:b/>
                <w:color w:val="FFFFFF"/>
                <w:sz w:val="20"/>
              </w:rPr>
              <w:t>API Call</w:t>
            </w:r>
          </w:p>
        </w:tc>
        <w:tc>
          <w:tcPr>
            <w:tcW w:type="dxa" w:w="1417"/>
            <w:shd w:val="clear" w:color="auto" w:fill="1F5C99"/>
          </w:tcPr>
          <w:p>
            <w:pPr>
              <w:jc w:val="center"/>
            </w:pPr>
            <w:r>
              <w:rPr>
                <w:rFonts w:ascii="Arial" w:hAnsi="Arial"/>
                <w:b/>
                <w:color w:val="FFFFFF"/>
                <w:sz w:val="20"/>
              </w:rPr>
              <w:t>Initiated By</w:t>
            </w:r>
          </w:p>
        </w:tc>
        <w:tc>
          <w:tcPr>
            <w:tcW w:type="dxa" w:w="3402"/>
            <w:shd w:val="clear" w:color="auto" w:fill="1F5C99"/>
          </w:tcPr>
          <w:p>
            <w:pPr>
              <w:jc w:val="center"/>
            </w:pPr>
            <w:r>
              <w:rPr>
                <w:rFonts w:ascii="Arial" w:hAnsi="Arial"/>
                <w:b/>
                <w:color w:val="FFFFFF"/>
                <w:sz w:val="20"/>
              </w:rPr>
              <w:t>BAP Sends</w:t>
            </w:r>
          </w:p>
        </w:tc>
        <w:tc>
          <w:tcPr>
            <w:tcW w:type="dxa" w:w="3685"/>
            <w:shd w:val="clear" w:color="auto" w:fill="1F5C99"/>
          </w:tcPr>
          <w:p>
            <w:pPr>
              <w:jc w:val="center"/>
            </w:pPr>
            <w:r>
              <w:rPr>
                <w:rFonts w:ascii="Arial" w:hAnsi="Arial"/>
                <w:b/>
                <w:color w:val="FFFFFF"/>
                <w:sz w:val="20"/>
              </w:rPr>
              <w:t>BPP Responds</w:t>
            </w:r>
          </w:p>
        </w:tc>
      </w:tr>
      <w:tr>
        <w:tc>
          <w:tcPr>
            <w:tcW w:type="dxa" w:w="1417"/>
            <w:shd w:val="clear" w:color="auto" w:fill="EBF3FB"/>
          </w:tcPr>
          <w:p>
            <w:r>
              <w:rPr>
                <w:rFonts w:ascii="Arial" w:hAnsi="Arial"/>
                <w:sz w:val="20"/>
              </w:rPr>
              <w:t>discover</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Discover with category=Commodity-Price, targetLocation, targetRegionRadiusKm, priceQueryTimeRange</w:t>
            </w:r>
          </w:p>
        </w:tc>
        <w:tc>
          <w:tcPr>
            <w:tcW w:type="dxa" w:w="3685"/>
            <w:shd w:val="clear" w:color="auto" w:fill="EBF3FB"/>
          </w:tcPr>
          <w:p>
            <w:r>
              <w:rPr>
                <w:rFonts w:ascii="Arial" w:hAnsi="Arial"/>
                <w:sz w:val="20"/>
              </w:rPr>
              <w:t>Returns catalog of commodity price items with CommodityPriceItemAttributes and CommodityMarketOfferAttributes</w:t>
            </w:r>
          </w:p>
        </w:tc>
      </w:tr>
    </w:tbl>
    <w:p/>
    <w:p>
      <w:pPr>
        <w:shd w:val="clear" w:color="auto" w:fill="FFF9C4"/>
        <w:ind w:left="288" w:right="288"/>
      </w:pPr>
      <w:r>
        <w:rPr>
          <w:b/>
          <w:sz w:val="20"/>
        </w:rPr>
        <w:t xml:space="preserve">No transactional flow: </w:t>
      </w:r>
      <w:r>
        <w:rPr>
          <w:sz w:val="20"/>
        </w:rPr>
        <w:t>Commodity price data is always freely accessible. BPPs must not implement or expect select, init, confirm, status, or cancel calls for UC2 items.</w:t>
      </w:r>
    </w:p>
    <w:p/>
    <w:p>
      <w:r>
        <w:br w:type="page"/>
      </w:r>
    </w:p>
    <w:p>
      <w:pPr>
        <w:pStyle w:val="Heading1"/>
      </w:pPr>
      <w:r>
        <w:t>9. UC3 — Weather Forecast Data</w:t>
      </w:r>
    </w:p>
    <w:p>
      <w:pPr>
        <w:pStyle w:val="Heading2"/>
      </w:pPr>
      <w:r>
        <w:t>9.1 Overview</w:t>
      </w:r>
    </w:p>
    <w:p>
      <w:r>
        <w:rPr>
          <w:rFonts w:ascii="Arial" w:hAnsi="Arial"/>
          <w:b w:val="0"/>
          <w:i w:val="0"/>
          <w:sz w:val="22"/>
        </w:rPr>
        <w:t>Monisha, a tomato farmer in Nashik, needs to plan her fertilisation, irrigation, and pest control schedule for the next two weeks. She searches the UAI network for a hyperlocal weather forecast for her farm location. She discovers weather forecast products from multiple providers — including a 7-day forecast from Amicus Agri Services and a 14-day hyperlocal forecast from News14, priced at INR 30. She reviews the terms, pays via UPI, and receives her detailed weather report as a PDF within minutes.</w:t>
      </w:r>
    </w:p>
    <w:p>
      <w:r>
        <w:rPr>
          <w:rFonts w:ascii="Arial" w:hAnsi="Arial"/>
          <w:b w:val="0"/>
          <w:i w:val="0"/>
          <w:sz w:val="22"/>
        </w:rPr>
        <w:t>UC3 follows the full transactional lifecycle including cancellation and refund handling, making it the most complex of the three advisory use cases.</w:t>
      </w:r>
    </w:p>
    <w:p>
      <w:pPr>
        <w:pStyle w:val="Heading2"/>
      </w:pPr>
      <w:r>
        <w:t>9.2 Key Item Attributes (WeatherForecastItemAttributes)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835"/>
            <w:shd w:val="clear" w:color="auto" w:fill="1F5C99"/>
          </w:tcPr>
          <w:p>
            <w:pPr>
              <w:jc w:val="center"/>
            </w:pPr>
            <w:r>
              <w:rPr>
                <w:rFonts w:ascii="Arial" w:hAnsi="Arial"/>
                <w:b/>
                <w:color w:val="FFFFFF"/>
                <w:sz w:val="20"/>
              </w:rPr>
              <w:t>Field</w:t>
            </w:r>
          </w:p>
        </w:tc>
        <w:tc>
          <w:tcPr>
            <w:tcW w:type="dxa" w:w="1417"/>
            <w:shd w:val="clear" w:color="auto" w:fill="1F5C99"/>
          </w:tcPr>
          <w:p>
            <w:pPr>
              <w:jc w:val="center"/>
            </w:pPr>
            <w:r>
              <w:rPr>
                <w:rFonts w:ascii="Arial" w:hAnsi="Arial"/>
                <w:b/>
                <w:color w:val="FFFFFF"/>
                <w:sz w:val="20"/>
              </w:rPr>
              <w:t>Type</w:t>
            </w:r>
          </w:p>
        </w:tc>
        <w:tc>
          <w:tcPr>
            <w:tcW w:type="dxa" w:w="3402"/>
            <w:shd w:val="clear" w:color="auto" w:fill="1F5C99"/>
          </w:tcPr>
          <w:p>
            <w:pPr>
              <w:jc w:val="center"/>
            </w:pPr>
            <w:r>
              <w:rPr>
                <w:rFonts w:ascii="Arial" w:hAnsi="Arial"/>
                <w:b/>
                <w:color w:val="FFFFFF"/>
                <w:sz w:val="20"/>
              </w:rPr>
              <w:t>Description</w:t>
            </w:r>
          </w:p>
        </w:tc>
        <w:tc>
          <w:tcPr>
            <w:tcW w:type="dxa" w:w="2268"/>
            <w:shd w:val="clear" w:color="auto" w:fill="1F5C99"/>
          </w:tcPr>
          <w:p>
            <w:pPr>
              <w:jc w:val="center"/>
            </w:pPr>
            <w:r>
              <w:rPr>
                <w:rFonts w:ascii="Arial" w:hAnsi="Arial"/>
                <w:b/>
                <w:color w:val="FFFFFF"/>
                <w:sz w:val="20"/>
              </w:rPr>
              <w:t>Example</w:t>
            </w:r>
          </w:p>
        </w:tc>
      </w:tr>
      <w:tr>
        <w:tc>
          <w:tcPr>
            <w:tcW w:type="dxa" w:w="2835"/>
            <w:shd w:val="clear" w:color="auto" w:fill="EBF3FB"/>
          </w:tcPr>
          <w:p>
            <w:r>
              <w:rPr>
                <w:rFonts w:ascii="Arial" w:hAnsi="Arial"/>
                <w:sz w:val="20"/>
              </w:rPr>
              <w:t>forecastType</w:t>
            </w:r>
          </w:p>
        </w:tc>
        <w:tc>
          <w:tcPr>
            <w:tcW w:type="dxa" w:w="1417"/>
            <w:shd w:val="clear" w:color="auto" w:fill="EBF3FB"/>
          </w:tcPr>
          <w:p>
            <w:r>
              <w:rPr>
                <w:rFonts w:ascii="Arial" w:hAnsi="Arial"/>
                <w:sz w:val="20"/>
              </w:rPr>
              <w:t>enum</w:t>
            </w:r>
          </w:p>
        </w:tc>
        <w:tc>
          <w:tcPr>
            <w:tcW w:type="dxa" w:w="3402"/>
            <w:shd w:val="clear" w:color="auto" w:fill="EBF3FB"/>
          </w:tcPr>
          <w:p>
            <w:r>
              <w:rPr>
                <w:rFonts w:ascii="Arial" w:hAnsi="Arial"/>
                <w:sz w:val="20"/>
              </w:rPr>
              <w:t>WEATHER_FORECAST | SEASONAL_OUTLOOK | AGRO_ADVISORY | HISTORICAL_DATA | CLIMATE_RISK</w:t>
            </w:r>
          </w:p>
        </w:tc>
        <w:tc>
          <w:tcPr>
            <w:tcW w:type="dxa" w:w="2268"/>
            <w:shd w:val="clear" w:color="auto" w:fill="EBF3FB"/>
          </w:tcPr>
          <w:p>
            <w:r>
              <w:rPr>
                <w:rFonts w:ascii="Arial" w:hAnsi="Arial"/>
                <w:sz w:val="20"/>
              </w:rPr>
              <w:t>WEATHER_FORECAST</w:t>
            </w:r>
          </w:p>
        </w:tc>
      </w:tr>
      <w:tr>
        <w:tc>
          <w:tcPr>
            <w:tcW w:type="dxa" w:w="2835"/>
          </w:tcPr>
          <w:p>
            <w:r>
              <w:rPr>
                <w:rFonts w:ascii="Arial" w:hAnsi="Arial"/>
                <w:sz w:val="20"/>
              </w:rPr>
              <w:t>forecastDurationDays</w:t>
            </w:r>
          </w:p>
        </w:tc>
        <w:tc>
          <w:tcPr>
            <w:tcW w:type="dxa" w:w="1417"/>
          </w:tcPr>
          <w:p>
            <w:r>
              <w:rPr>
                <w:rFonts w:ascii="Arial" w:hAnsi="Arial"/>
                <w:sz w:val="20"/>
              </w:rPr>
              <w:t>integer</w:t>
            </w:r>
          </w:p>
        </w:tc>
        <w:tc>
          <w:tcPr>
            <w:tcW w:type="dxa" w:w="3402"/>
          </w:tcPr>
          <w:p>
            <w:r>
              <w:rPr>
                <w:rFonts w:ascii="Arial" w:hAnsi="Arial"/>
                <w:sz w:val="20"/>
              </w:rPr>
              <w:t>Forecast period in days</w:t>
            </w:r>
          </w:p>
        </w:tc>
        <w:tc>
          <w:tcPr>
            <w:tcW w:type="dxa" w:w="2268"/>
          </w:tcPr>
          <w:p>
            <w:r>
              <w:rPr>
                <w:rFonts w:ascii="Arial" w:hAnsi="Arial"/>
                <w:sz w:val="20"/>
              </w:rPr>
              <w:t>14</w:t>
            </w:r>
          </w:p>
        </w:tc>
      </w:tr>
      <w:tr>
        <w:tc>
          <w:tcPr>
            <w:tcW w:type="dxa" w:w="2835"/>
            <w:shd w:val="clear" w:color="auto" w:fill="EBF3FB"/>
          </w:tcPr>
          <w:p>
            <w:r>
              <w:rPr>
                <w:rFonts w:ascii="Arial" w:hAnsi="Arial"/>
                <w:sz w:val="20"/>
              </w:rPr>
              <w:t>forecastDurationISO</w:t>
            </w:r>
          </w:p>
        </w:tc>
        <w:tc>
          <w:tcPr>
            <w:tcW w:type="dxa" w:w="1417"/>
            <w:shd w:val="clear" w:color="auto" w:fill="EBF3FB"/>
          </w:tcPr>
          <w:p>
            <w:r>
              <w:rPr>
                <w:rFonts w:ascii="Arial" w:hAnsi="Arial"/>
                <w:sz w:val="20"/>
              </w:rPr>
              <w:t>string</w:t>
            </w:r>
          </w:p>
        </w:tc>
        <w:tc>
          <w:tcPr>
            <w:tcW w:type="dxa" w:w="3402"/>
            <w:shd w:val="clear" w:color="auto" w:fill="EBF3FB"/>
          </w:tcPr>
          <w:p>
            <w:r>
              <w:rPr>
                <w:rFonts w:ascii="Arial" w:hAnsi="Arial"/>
                <w:sz w:val="20"/>
              </w:rPr>
              <w:t>ISO 8601 duration</w:t>
            </w:r>
          </w:p>
        </w:tc>
        <w:tc>
          <w:tcPr>
            <w:tcW w:type="dxa" w:w="2268"/>
            <w:shd w:val="clear" w:color="auto" w:fill="EBF3FB"/>
          </w:tcPr>
          <w:p>
            <w:r>
              <w:rPr>
                <w:rFonts w:ascii="Arial" w:hAnsi="Arial"/>
                <w:sz w:val="20"/>
              </w:rPr>
              <w:t>P14D</w:t>
            </w:r>
          </w:p>
        </w:tc>
      </w:tr>
      <w:tr>
        <w:tc>
          <w:tcPr>
            <w:tcW w:type="dxa" w:w="2835"/>
          </w:tcPr>
          <w:p>
            <w:r>
              <w:rPr>
                <w:rFonts w:ascii="Arial" w:hAnsi="Arial"/>
                <w:sz w:val="20"/>
              </w:rPr>
              <w:t>forecastResolution</w:t>
            </w:r>
          </w:p>
        </w:tc>
        <w:tc>
          <w:tcPr>
            <w:tcW w:type="dxa" w:w="1417"/>
          </w:tcPr>
          <w:p>
            <w:r>
              <w:rPr>
                <w:rFonts w:ascii="Arial" w:hAnsi="Arial"/>
                <w:sz w:val="20"/>
              </w:rPr>
              <w:t>enum</w:t>
            </w:r>
          </w:p>
        </w:tc>
        <w:tc>
          <w:tcPr>
            <w:tcW w:type="dxa" w:w="3402"/>
          </w:tcPr>
          <w:p>
            <w:r>
              <w:rPr>
                <w:rFonts w:ascii="Arial" w:hAnsi="Arial"/>
                <w:sz w:val="20"/>
              </w:rPr>
              <w:t>HYPERLOCAL | VILLAGE | BLOCK | DISTRICT | STATE | NATIONAL</w:t>
            </w:r>
          </w:p>
        </w:tc>
        <w:tc>
          <w:tcPr>
            <w:tcW w:type="dxa" w:w="2268"/>
          </w:tcPr>
          <w:p>
            <w:r>
              <w:rPr>
                <w:rFonts w:ascii="Arial" w:hAnsi="Arial"/>
                <w:sz w:val="20"/>
              </w:rPr>
              <w:t>HYPERLOCAL</w:t>
            </w:r>
          </w:p>
        </w:tc>
      </w:tr>
      <w:tr>
        <w:tc>
          <w:tcPr>
            <w:tcW w:type="dxa" w:w="2835"/>
            <w:shd w:val="clear" w:color="auto" w:fill="EBF3FB"/>
          </w:tcPr>
          <w:p>
            <w:r>
              <w:rPr>
                <w:rFonts w:ascii="Arial" w:hAnsi="Arial"/>
                <w:sz w:val="20"/>
              </w:rPr>
              <w:t>weatherDataPoints</w:t>
            </w:r>
          </w:p>
        </w:tc>
        <w:tc>
          <w:tcPr>
            <w:tcW w:type="dxa" w:w="1417"/>
            <w:shd w:val="clear" w:color="auto" w:fill="EBF3FB"/>
          </w:tcPr>
          <w:p>
            <w:r>
              <w:rPr>
                <w:rFonts w:ascii="Arial" w:hAnsi="Arial"/>
                <w:sz w:val="20"/>
              </w:rPr>
              <w:t>enum[]</w:t>
            </w:r>
          </w:p>
        </w:tc>
        <w:tc>
          <w:tcPr>
            <w:tcW w:type="dxa" w:w="3402"/>
            <w:shd w:val="clear" w:color="auto" w:fill="EBF3FB"/>
          </w:tcPr>
          <w:p>
            <w:r>
              <w:rPr>
                <w:rFonts w:ascii="Arial" w:hAnsi="Arial"/>
                <w:sz w:val="20"/>
              </w:rPr>
              <w:t>Array of 17 meteorological parameters</w:t>
            </w:r>
          </w:p>
        </w:tc>
        <w:tc>
          <w:tcPr>
            <w:tcW w:type="dxa" w:w="2268"/>
            <w:shd w:val="clear" w:color="auto" w:fill="EBF3FB"/>
          </w:tcPr>
          <w:p>
            <w:r>
              <w:rPr>
                <w:rFonts w:ascii="Arial" w:hAnsi="Arial"/>
                <w:sz w:val="20"/>
              </w:rPr>
              <w:t>["TEMPERATURE_MIN", "TEMPERATURE_MAX", "PRECIPITATION", ...]</w:t>
            </w:r>
          </w:p>
        </w:tc>
      </w:tr>
      <w:tr>
        <w:tc>
          <w:tcPr>
            <w:tcW w:type="dxa" w:w="2835"/>
          </w:tcPr>
          <w:p>
            <w:r>
              <w:rPr>
                <w:rFonts w:ascii="Arial" w:hAnsi="Arial"/>
                <w:sz w:val="20"/>
              </w:rPr>
              <w:t>outputFormats</w:t>
            </w:r>
          </w:p>
        </w:tc>
        <w:tc>
          <w:tcPr>
            <w:tcW w:type="dxa" w:w="1417"/>
          </w:tcPr>
          <w:p>
            <w:r>
              <w:rPr>
                <w:rFonts w:ascii="Arial" w:hAnsi="Arial"/>
                <w:sz w:val="20"/>
              </w:rPr>
              <w:t>enum[]</w:t>
            </w:r>
          </w:p>
        </w:tc>
        <w:tc>
          <w:tcPr>
            <w:tcW w:type="dxa" w:w="3402"/>
          </w:tcPr>
          <w:p>
            <w:r>
              <w:rPr>
                <w:rFonts w:ascii="Arial" w:hAnsi="Arial"/>
                <w:sz w:val="20"/>
              </w:rPr>
              <w:t>PDF | JSON_API | CSV | SMS | PUSH_NOTIFICATION | IN_APP_DISPLAY | EMAIL_REPORT</w:t>
            </w:r>
          </w:p>
        </w:tc>
        <w:tc>
          <w:tcPr>
            <w:tcW w:type="dxa" w:w="2268"/>
          </w:tcPr>
          <w:p>
            <w:r>
              <w:rPr>
                <w:rFonts w:ascii="Arial" w:hAnsi="Arial"/>
                <w:sz w:val="20"/>
              </w:rPr>
              <w:t>["PDF", "IN_APP_DISPLAY"]</w:t>
            </w:r>
          </w:p>
        </w:tc>
      </w:tr>
      <w:tr>
        <w:tc>
          <w:tcPr>
            <w:tcW w:type="dxa" w:w="2835"/>
            <w:shd w:val="clear" w:color="auto" w:fill="EBF3FB"/>
          </w:tcPr>
          <w:p>
            <w:r>
              <w:rPr>
                <w:rFonts w:ascii="Arial" w:hAnsi="Arial"/>
                <w:sz w:val="20"/>
              </w:rPr>
              <w:t>coverageAreaCodes</w:t>
            </w:r>
          </w:p>
        </w:tc>
        <w:tc>
          <w:tcPr>
            <w:tcW w:type="dxa" w:w="1417"/>
            <w:shd w:val="clear" w:color="auto" w:fill="EBF3FB"/>
          </w:tcPr>
          <w:p>
            <w:r>
              <w:rPr>
                <w:rFonts w:ascii="Arial" w:hAnsi="Arial"/>
                <w:sz w:val="20"/>
              </w:rPr>
              <w:t>CodedValue[]</w:t>
            </w:r>
          </w:p>
        </w:tc>
        <w:tc>
          <w:tcPr>
            <w:tcW w:type="dxa" w:w="3402"/>
            <w:shd w:val="clear" w:color="auto" w:fill="EBF3FB"/>
          </w:tcPr>
          <w:p>
            <w:r>
              <w:rPr>
                <w:rFonts w:ascii="Arial" w:hAnsi="Arial"/>
                <w:sz w:val="20"/>
              </w:rPr>
              <w:t>Administrative area codes identifying the geographic scope of this product. Each entry: @context (code system URI), @type (code class), code (value). Recommended: LGD district/sub-district (https://lgdirectory.gov.in) or PIN code (https://www.indiapost.gov.in).</w:t>
            </w:r>
          </w:p>
        </w:tc>
        <w:tc>
          <w:tcPr>
            <w:tcW w:type="dxa" w:w="2268"/>
            <w:shd w:val="clear" w:color="auto" w:fill="EBF3FB"/>
          </w:tcPr>
          <w:p>
            <w:r>
              <w:rPr>
                <w:rFonts w:ascii="Arial" w:hAnsi="Arial"/>
                <w:sz w:val="20"/>
              </w:rPr>
              <w:t>[{"@context":"https://lgdirectory.gov.in","@type":"LGDDistrict","code":"507"}]</w:t>
            </w:r>
          </w:p>
        </w:tc>
      </w:tr>
      <w:tr>
        <w:tc>
          <w:tcPr>
            <w:tcW w:type="dxa" w:w="2835"/>
          </w:tcPr>
          <w:p>
            <w:r>
              <w:rPr>
                <w:rFonts w:ascii="Arial" w:hAnsi="Arial"/>
                <w:sz w:val="20"/>
              </w:rPr>
              <w:t>modelSource</w:t>
            </w:r>
          </w:p>
        </w:tc>
        <w:tc>
          <w:tcPr>
            <w:tcW w:type="dxa" w:w="1417"/>
          </w:tcPr>
          <w:p>
            <w:r>
              <w:rPr>
                <w:rFonts w:ascii="Arial" w:hAnsi="Arial"/>
                <w:sz w:val="20"/>
              </w:rPr>
              <w:t>string</w:t>
            </w:r>
          </w:p>
        </w:tc>
        <w:tc>
          <w:tcPr>
            <w:tcW w:type="dxa" w:w="3402"/>
          </w:tcPr>
          <w:p>
            <w:r>
              <w:rPr>
                <w:rFonts w:ascii="Arial" w:hAnsi="Arial"/>
                <w:sz w:val="20"/>
              </w:rPr>
              <w:t>Forecast model: IMD, ECMWF, GFS, proprietary</w:t>
            </w:r>
          </w:p>
        </w:tc>
        <w:tc>
          <w:tcPr>
            <w:tcW w:type="dxa" w:w="2268"/>
          </w:tcPr>
          <w:p>
            <w:r>
              <w:rPr>
                <w:rFonts w:ascii="Arial" w:hAnsi="Arial"/>
                <w:sz w:val="20"/>
              </w:rPr>
              <w:t>IMD-NCMRWF</w:t>
            </w:r>
          </w:p>
        </w:tc>
      </w:tr>
      <w:tr>
        <w:tc>
          <w:tcPr>
            <w:tcW w:type="dxa" w:w="2835"/>
            <w:shd w:val="clear" w:color="auto" w:fill="EBF3FB"/>
          </w:tcPr>
          <w:p>
            <w:r>
              <w:rPr>
                <w:rFonts w:ascii="Arial" w:hAnsi="Arial"/>
                <w:sz w:val="20"/>
              </w:rPr>
              <w:t>updateFrequency</w:t>
            </w:r>
          </w:p>
        </w:tc>
        <w:tc>
          <w:tcPr>
            <w:tcW w:type="dxa" w:w="1417"/>
            <w:shd w:val="clear" w:color="auto" w:fill="EBF3FB"/>
          </w:tcPr>
          <w:p>
            <w:r>
              <w:rPr>
                <w:rFonts w:ascii="Arial" w:hAnsi="Arial"/>
                <w:sz w:val="20"/>
              </w:rPr>
              <w:t>string</w:t>
            </w:r>
          </w:p>
        </w:tc>
        <w:tc>
          <w:tcPr>
            <w:tcW w:type="dxa" w:w="3402"/>
            <w:shd w:val="clear" w:color="auto" w:fill="EBF3FB"/>
          </w:tcPr>
          <w:p>
            <w:r>
              <w:rPr>
                <w:rFonts w:ascii="Arial" w:hAnsi="Arial"/>
                <w:sz w:val="20"/>
              </w:rPr>
              <w:t>ISO 8601 duration between updates</w:t>
            </w:r>
          </w:p>
        </w:tc>
        <w:tc>
          <w:tcPr>
            <w:tcW w:type="dxa" w:w="2268"/>
            <w:shd w:val="clear" w:color="auto" w:fill="EBF3FB"/>
          </w:tcPr>
          <w:p>
            <w:r>
              <w:rPr>
                <w:rFonts w:ascii="Arial" w:hAnsi="Arial"/>
                <w:sz w:val="20"/>
              </w:rPr>
              <w:t>PT6H</w:t>
            </w:r>
          </w:p>
        </w:tc>
      </w:tr>
      <w:tr>
        <w:tc>
          <w:tcPr>
            <w:tcW w:type="dxa" w:w="2835"/>
          </w:tcPr>
          <w:p>
            <w:r>
              <w:rPr>
                <w:rFonts w:ascii="Arial" w:hAnsi="Arial"/>
                <w:sz w:val="20"/>
              </w:rPr>
              <w:t>providerLicense</w:t>
            </w:r>
          </w:p>
        </w:tc>
        <w:tc>
          <w:tcPr>
            <w:tcW w:type="dxa" w:w="1417"/>
          </w:tcPr>
          <w:p>
            <w:r>
              <w:rPr>
                <w:rFonts w:ascii="Arial" w:hAnsi="Arial"/>
                <w:sz w:val="20"/>
              </w:rPr>
              <w:t>enum</w:t>
            </w:r>
          </w:p>
        </w:tc>
        <w:tc>
          <w:tcPr>
            <w:tcW w:type="dxa" w:w="3402"/>
          </w:tcPr>
          <w:p>
            <w:r>
              <w:rPr>
                <w:rFonts w:ascii="Arial" w:hAnsi="Arial"/>
                <w:sz w:val="20"/>
              </w:rPr>
              <w:t>OPEN | PROPRIETARY | GOVERNMENT | CREATIVE_COMMONS | ACADEMIC</w:t>
            </w:r>
          </w:p>
        </w:tc>
        <w:tc>
          <w:tcPr>
            <w:tcW w:type="dxa" w:w="2268"/>
          </w:tcPr>
          <w:p>
            <w:r>
              <w:rPr>
                <w:rFonts w:ascii="Arial" w:hAnsi="Arial"/>
                <w:sz w:val="20"/>
              </w:rPr>
              <w:t>PROPRIETARY</w:t>
            </w:r>
          </w:p>
        </w:tc>
      </w:tr>
      <w:tr>
        <w:tc>
          <w:tcPr>
            <w:tcW w:type="dxa" w:w="2835"/>
            <w:shd w:val="clear" w:color="auto" w:fill="EBF3FB"/>
          </w:tcPr>
          <w:p>
            <w:r>
              <w:rPr>
                <w:rFonts w:ascii="Arial" w:hAnsi="Arial"/>
                <w:sz w:val="20"/>
              </w:rPr>
              <w:t>accreditedBy</w:t>
            </w:r>
          </w:p>
        </w:tc>
        <w:tc>
          <w:tcPr>
            <w:tcW w:type="dxa" w:w="1417"/>
            <w:shd w:val="clear" w:color="auto" w:fill="EBF3FB"/>
          </w:tcPr>
          <w:p>
            <w:r>
              <w:rPr>
                <w:rFonts w:ascii="Arial" w:hAnsi="Arial"/>
                <w:sz w:val="20"/>
              </w:rPr>
              <w:t>string</w:t>
            </w:r>
          </w:p>
        </w:tc>
        <w:tc>
          <w:tcPr>
            <w:tcW w:type="dxa" w:w="3402"/>
            <w:shd w:val="clear" w:color="auto" w:fill="EBF3FB"/>
          </w:tcPr>
          <w:p>
            <w:r>
              <w:rPr>
                <w:rFonts w:ascii="Arial" w:hAnsi="Arial"/>
                <w:sz w:val="20"/>
              </w:rPr>
              <w:t>Accreditation or regulatory body</w:t>
            </w:r>
          </w:p>
        </w:tc>
        <w:tc>
          <w:tcPr>
            <w:tcW w:type="dxa" w:w="2268"/>
            <w:shd w:val="clear" w:color="auto" w:fill="EBF3FB"/>
          </w:tcPr>
          <w:p>
            <w:r>
              <w:rPr>
                <w:rFonts w:ascii="Arial" w:hAnsi="Arial"/>
                <w:sz w:val="20"/>
              </w:rPr>
              <w:t>IMD</w:t>
            </w:r>
          </w:p>
        </w:tc>
      </w:tr>
    </w:tbl>
    <w:p/>
    <w:p>
      <w:pPr>
        <w:pStyle w:val="Heading2"/>
      </w:pPr>
      <w:r>
        <w:t>9.3 API Lifecycle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417"/>
            <w:shd w:val="clear" w:color="auto" w:fill="1F5C99"/>
          </w:tcPr>
          <w:p>
            <w:pPr>
              <w:jc w:val="center"/>
            </w:pPr>
            <w:r>
              <w:rPr>
                <w:rFonts w:ascii="Arial" w:hAnsi="Arial"/>
                <w:b/>
                <w:color w:val="FFFFFF"/>
                <w:sz w:val="20"/>
              </w:rPr>
              <w:t>API Call</w:t>
            </w:r>
          </w:p>
        </w:tc>
        <w:tc>
          <w:tcPr>
            <w:tcW w:type="dxa" w:w="1417"/>
            <w:shd w:val="clear" w:color="auto" w:fill="1F5C99"/>
          </w:tcPr>
          <w:p>
            <w:pPr>
              <w:jc w:val="center"/>
            </w:pPr>
            <w:r>
              <w:rPr>
                <w:rFonts w:ascii="Arial" w:hAnsi="Arial"/>
                <w:b/>
                <w:color w:val="FFFFFF"/>
                <w:sz w:val="20"/>
              </w:rPr>
              <w:t>Initiated By</w:t>
            </w:r>
          </w:p>
        </w:tc>
        <w:tc>
          <w:tcPr>
            <w:tcW w:type="dxa" w:w="3402"/>
            <w:shd w:val="clear" w:color="auto" w:fill="1F5C99"/>
          </w:tcPr>
          <w:p>
            <w:pPr>
              <w:jc w:val="center"/>
            </w:pPr>
            <w:r>
              <w:rPr>
                <w:rFonts w:ascii="Arial" w:hAnsi="Arial"/>
                <w:b/>
                <w:color w:val="FFFFFF"/>
                <w:sz w:val="20"/>
              </w:rPr>
              <w:t>BAP Sends</w:t>
            </w:r>
          </w:p>
        </w:tc>
        <w:tc>
          <w:tcPr>
            <w:tcW w:type="dxa" w:w="3685"/>
            <w:shd w:val="clear" w:color="auto" w:fill="1F5C99"/>
          </w:tcPr>
          <w:p>
            <w:pPr>
              <w:jc w:val="center"/>
            </w:pPr>
            <w:r>
              <w:rPr>
                <w:rFonts w:ascii="Arial" w:hAnsi="Arial"/>
                <w:b/>
                <w:color w:val="FFFFFF"/>
                <w:sz w:val="20"/>
              </w:rPr>
              <w:t>BPP Responds</w:t>
            </w:r>
          </w:p>
        </w:tc>
      </w:tr>
      <w:tr>
        <w:tc>
          <w:tcPr>
            <w:tcW w:type="dxa" w:w="1417"/>
            <w:shd w:val="clear" w:color="auto" w:fill="EBF3FB"/>
          </w:tcPr>
          <w:p>
            <w:r>
              <w:rPr>
                <w:rFonts w:ascii="Arial" w:hAnsi="Arial"/>
                <w:sz w:val="20"/>
              </w:rPr>
              <w:t>discover</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Discover with category=Weather-Forecast, farm GPS in fulfillmentAttributes.targetLocation, requestedLanguage</w:t>
            </w:r>
          </w:p>
        </w:tc>
        <w:tc>
          <w:tcPr>
            <w:tcW w:type="dxa" w:w="3685"/>
            <w:shd w:val="clear" w:color="auto" w:fill="EBF3FB"/>
          </w:tcPr>
          <w:p>
            <w:r>
              <w:rPr>
                <w:rFonts w:ascii="Arial" w:hAnsi="Arial"/>
                <w:sz w:val="20"/>
              </w:rPr>
              <w:t>Returns catalog of weather forecast products with itemAttributes and offerAttributes</w:t>
            </w:r>
          </w:p>
        </w:tc>
      </w:tr>
      <w:tr>
        <w:tc>
          <w:tcPr>
            <w:tcW w:type="dxa" w:w="1417"/>
          </w:tcPr>
          <w:p>
            <w:r>
              <w:rPr>
                <w:rFonts w:ascii="Arial" w:hAnsi="Arial"/>
                <w:sz w:val="20"/>
              </w:rPr>
              <w:t>select</w:t>
            </w:r>
          </w:p>
        </w:tc>
        <w:tc>
          <w:tcPr>
            <w:tcW w:type="dxa" w:w="1417"/>
          </w:tcPr>
          <w:p>
            <w:r>
              <w:rPr>
                <w:rFonts w:ascii="Arial" w:hAnsi="Arial"/>
                <w:sz w:val="20"/>
              </w:rPr>
              <w:t>BAP</w:t>
            </w:r>
          </w:p>
        </w:tc>
        <w:tc>
          <w:tcPr>
            <w:tcW w:type="dxa" w:w="3402"/>
          </w:tcPr>
          <w:p>
            <w:r>
              <w:rPr>
                <w:rFonts w:ascii="Arial" w:hAnsi="Arial"/>
                <w:sz w:val="20"/>
              </w:rPr>
              <w:t>Select specific forecast product and offer</w:t>
            </w:r>
          </w:p>
        </w:tc>
        <w:tc>
          <w:tcPr>
            <w:tcW w:type="dxa" w:w="3685"/>
          </w:tcPr>
          <w:p>
            <w:r>
              <w:rPr>
                <w:rFonts w:ascii="Arial" w:hAnsi="Arial"/>
                <w:sz w:val="20"/>
              </w:rPr>
              <w:t>Returns price quote and cancellation policy (AgriAdvisoryOfferAttributes)</w:t>
            </w:r>
          </w:p>
        </w:tc>
      </w:tr>
      <w:tr>
        <w:tc>
          <w:tcPr>
            <w:tcW w:type="dxa" w:w="1417"/>
            <w:shd w:val="clear" w:color="auto" w:fill="EBF3FB"/>
          </w:tcPr>
          <w:p>
            <w:r>
              <w:rPr>
                <w:rFonts w:ascii="Arial" w:hAnsi="Arial"/>
                <w:sz w:val="20"/>
              </w:rPr>
              <w:t>init</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Provide billing/contact information for forecast delivery</w:t>
            </w:r>
          </w:p>
        </w:tc>
        <w:tc>
          <w:tcPr>
            <w:tcW w:type="dxa" w:w="3685"/>
            <w:shd w:val="clear" w:color="auto" w:fill="EBF3FB"/>
          </w:tcPr>
          <w:p>
            <w:r>
              <w:rPr>
                <w:rFonts w:ascii="Arial" w:hAnsi="Arial"/>
                <w:sz w:val="20"/>
              </w:rPr>
              <w:t>Returns draft order with payment breakup and delivery terms</w:t>
            </w:r>
          </w:p>
        </w:tc>
      </w:tr>
      <w:tr>
        <w:tc>
          <w:tcPr>
            <w:tcW w:type="dxa" w:w="1417"/>
          </w:tcPr>
          <w:p>
            <w:r>
              <w:rPr>
                <w:rFonts w:ascii="Arial" w:hAnsi="Arial"/>
                <w:sz w:val="20"/>
              </w:rPr>
              <w:t>confirm</w:t>
            </w:r>
          </w:p>
        </w:tc>
        <w:tc>
          <w:tcPr>
            <w:tcW w:type="dxa" w:w="1417"/>
          </w:tcPr>
          <w:p>
            <w:r>
              <w:rPr>
                <w:rFonts w:ascii="Arial" w:hAnsi="Arial"/>
                <w:sz w:val="20"/>
              </w:rPr>
              <w:t>BAP</w:t>
            </w:r>
          </w:p>
        </w:tc>
        <w:tc>
          <w:tcPr>
            <w:tcW w:type="dxa" w:w="3402"/>
          </w:tcPr>
          <w:p>
            <w:r>
              <w:rPr>
                <w:rFonts w:ascii="Arial" w:hAnsi="Arial"/>
                <w:sz w:val="20"/>
              </w:rPr>
              <w:t>Confirm order with UPI/payment reference</w:t>
            </w:r>
          </w:p>
        </w:tc>
        <w:tc>
          <w:tcPr>
            <w:tcW w:type="dxa" w:w="3685"/>
          </w:tcPr>
          <w:p>
            <w:r>
              <w:rPr>
                <w:rFonts w:ascii="Arial" w:hAnsi="Arial"/>
                <w:sz w:val="20"/>
              </w:rPr>
              <w:t>Returns confirmed order with fulfillment tracking ID</w:t>
            </w:r>
          </w:p>
        </w:tc>
      </w:tr>
      <w:tr>
        <w:tc>
          <w:tcPr>
            <w:tcW w:type="dxa" w:w="1417"/>
            <w:shd w:val="clear" w:color="auto" w:fill="EBF3FB"/>
          </w:tcPr>
          <w:p>
            <w:r>
              <w:rPr>
                <w:rFonts w:ascii="Arial" w:hAnsi="Arial"/>
                <w:sz w:val="20"/>
              </w:rPr>
              <w:t>status</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Poll for report delivery</w:t>
            </w:r>
          </w:p>
        </w:tc>
        <w:tc>
          <w:tcPr>
            <w:tcW w:type="dxa" w:w="3685"/>
            <w:shd w:val="clear" w:color="auto" w:fill="EBF3FB"/>
          </w:tcPr>
          <w:p>
            <w:r>
              <w:rPr>
                <w:rFonts w:ascii="Arial" w:hAnsi="Arial"/>
                <w:sz w:val="20"/>
              </w:rPr>
              <w:t>Returns contentAccessUrl (PDF link or API key) and contentAccessExpiry on fulfillment</w:t>
            </w:r>
          </w:p>
        </w:tc>
      </w:tr>
      <w:tr>
        <w:tc>
          <w:tcPr>
            <w:tcW w:type="dxa" w:w="1417"/>
          </w:tcPr>
          <w:p>
            <w:r>
              <w:rPr>
                <w:rFonts w:ascii="Arial" w:hAnsi="Arial"/>
                <w:sz w:val="20"/>
              </w:rPr>
              <w:t>cancel</w:t>
            </w:r>
          </w:p>
        </w:tc>
        <w:tc>
          <w:tcPr>
            <w:tcW w:type="dxa" w:w="1417"/>
          </w:tcPr>
          <w:p>
            <w:r>
              <w:rPr>
                <w:rFonts w:ascii="Arial" w:hAnsi="Arial"/>
                <w:sz w:val="20"/>
              </w:rPr>
              <w:t>BAP</w:t>
            </w:r>
          </w:p>
        </w:tc>
        <w:tc>
          <w:tcPr>
            <w:tcW w:type="dxa" w:w="3402"/>
          </w:tcPr>
          <w:p>
            <w:r>
              <w:rPr>
                <w:rFonts w:ascii="Arial" w:hAnsi="Arial"/>
                <w:sz w:val="20"/>
              </w:rPr>
              <w:t>Request cancellation within refund window</w:t>
            </w:r>
          </w:p>
        </w:tc>
        <w:tc>
          <w:tcPr>
            <w:tcW w:type="dxa" w:w="3685"/>
          </w:tcPr>
          <w:p>
            <w:r>
              <w:rPr>
                <w:rFonts w:ascii="Arial" w:hAnsi="Arial"/>
                <w:sz w:val="20"/>
              </w:rPr>
              <w:t>Returns cancellation confirmation; refund amount based on cancellationPolicy.refundPercentage</w:t>
            </w:r>
          </w:p>
        </w:tc>
      </w:tr>
      <w:tr>
        <w:tc>
          <w:tcPr>
            <w:tcW w:type="dxa" w:w="1417"/>
            <w:shd w:val="clear" w:color="auto" w:fill="EBF3FB"/>
          </w:tcPr>
          <w:p>
            <w:r>
              <w:rPr>
                <w:rFonts w:ascii="Arial" w:hAnsi="Arial"/>
                <w:sz w:val="20"/>
              </w:rPr>
              <w:t>support</w:t>
            </w:r>
          </w:p>
        </w:tc>
        <w:tc>
          <w:tcPr>
            <w:tcW w:type="dxa" w:w="1417"/>
            <w:shd w:val="clear" w:color="auto" w:fill="EBF3FB"/>
          </w:tcPr>
          <w:p>
            <w:r>
              <w:rPr>
                <w:rFonts w:ascii="Arial" w:hAnsi="Arial"/>
                <w:sz w:val="20"/>
              </w:rPr>
              <w:t>BAP</w:t>
            </w:r>
          </w:p>
        </w:tc>
        <w:tc>
          <w:tcPr>
            <w:tcW w:type="dxa" w:w="3402"/>
            <w:shd w:val="clear" w:color="auto" w:fill="EBF3FB"/>
          </w:tcPr>
          <w:p>
            <w:r>
              <w:rPr>
                <w:rFonts w:ascii="Arial" w:hAnsi="Arial"/>
                <w:sz w:val="20"/>
              </w:rPr>
              <w:t>Request support contact</w:t>
            </w:r>
          </w:p>
        </w:tc>
        <w:tc>
          <w:tcPr>
            <w:tcW w:type="dxa" w:w="3685"/>
            <w:shd w:val="clear" w:color="auto" w:fill="EBF3FB"/>
          </w:tcPr>
          <w:p>
            <w:r>
              <w:rPr>
                <w:rFonts w:ascii="Arial" w:hAnsi="Arial"/>
                <w:sz w:val="20"/>
              </w:rPr>
              <w:t>Returns phone/URL for provider customer support</w:t>
            </w:r>
          </w:p>
        </w:tc>
      </w:tr>
      <w:tr>
        <w:tc>
          <w:tcPr>
            <w:tcW w:type="dxa" w:w="1417"/>
          </w:tcPr>
          <w:p>
            <w:r>
              <w:rPr>
                <w:rFonts w:ascii="Arial" w:hAnsi="Arial"/>
                <w:sz w:val="20"/>
              </w:rPr>
              <w:t>rating</w:t>
            </w:r>
          </w:p>
        </w:tc>
        <w:tc>
          <w:tcPr>
            <w:tcW w:type="dxa" w:w="1417"/>
          </w:tcPr>
          <w:p>
            <w:r>
              <w:rPr>
                <w:rFonts w:ascii="Arial" w:hAnsi="Arial"/>
                <w:sz w:val="20"/>
              </w:rPr>
              <w:t>BAP</w:t>
            </w:r>
          </w:p>
        </w:tc>
        <w:tc>
          <w:tcPr>
            <w:tcW w:type="dxa" w:w="3402"/>
          </w:tcPr>
          <w:p>
            <w:r>
              <w:rPr>
                <w:rFonts w:ascii="Arial" w:hAnsi="Arial"/>
                <w:sz w:val="20"/>
              </w:rPr>
              <w:t>Submit numerical rating (0–5) on forecast quality</w:t>
            </w:r>
          </w:p>
        </w:tc>
        <w:tc>
          <w:tcPr>
            <w:tcW w:type="dxa" w:w="3685"/>
          </w:tcPr>
          <w:p>
            <w:r>
              <w:rPr>
                <w:rFonts w:ascii="Arial" w:hAnsi="Arial"/>
                <w:sz w:val="20"/>
              </w:rPr>
              <w:t>Returns feedback form URL</w:t>
            </w:r>
          </w:p>
        </w:tc>
      </w:tr>
    </w:tbl>
    <w:p/>
    <w:p>
      <w:pPr>
        <w:pStyle w:val="Heading2"/>
      </w:pPr>
      <w:r>
        <w:t>9.4 Fulfillment Attributes for UC3</w:t>
      </w:r>
    </w:p>
    <w:p>
      <w:r>
        <w:rPr>
          <w:rFonts w:ascii="Arial" w:hAnsi="Arial"/>
          <w:b w:val="0"/>
          <w:i w:val="0"/>
          <w:sz w:val="22"/>
        </w:rPr>
        <w:t>For UC3, fulfillment attributes carry the geographic context and delivery details for weather forecast fulfilment. The targetLocation field supports two complementary forms:</w:t>
      </w:r>
    </w:p>
    <w:p>
      <w:pPr>
        <w:pStyle w:val="ListBullet"/>
        <w:ind w:left="360"/>
      </w:pPr>
      <w:r>
        <w:rPr>
          <w:rFonts w:ascii="Arial" w:hAnsi="Arial"/>
          <w:sz w:val="22"/>
        </w:rPr>
        <w:t>geo (GeoJSON) — a Point for a single farm location, or a Polygon to express a farm geofence. The Polygon form is appropriate where a farm spans multiple plots or an irregular boundary that cannot be adequately represented by a single coordinate pair.</w:t>
      </w:r>
    </w:p>
    <w:p>
      <w:pPr>
        <w:pStyle w:val="ListBullet"/>
        <w:ind w:left="360"/>
      </w:pPr>
      <w:r>
        <w:rPr>
          <w:rFonts w:ascii="Arial" w:hAnsi="Arial"/>
          <w:sz w:val="22"/>
        </w:rPr>
        <w:t>areaCodes (CodedValue[]) — one or more administrative area codes identifying the target location by administrative identity rather than coordinates. Recommended values: LGD district, sub-district, or village codes (https://lgdirectory.gov.in) or India Post PIN codes (https://www.indiapost.gov.in). Use when GPS is unavailable or when the buyer is requesting a district- or block-level forecast.</w:t>
      </w:r>
    </w:p>
    <w:p>
      <w:pPr>
        <w:shd w:val="clear" w:color="auto" w:fill="FFF9C4"/>
        <w:ind w:left="288" w:right="288"/>
      </w:pPr>
      <w:r>
        <w:rPr>
          <w:b/>
          <w:sz w:val="20"/>
        </w:rPr>
        <w:t xml:space="preserve">Note: </w:t>
      </w:r>
      <w:r>
        <w:rPr>
          <w:sz w:val="20"/>
        </w:rPr>
        <w:t>geo and areaCodes are complementary and may be combined in the same request — for example, a GeoJSON Point for spatial matching by the BPP and an LGD district code for administrative reporting and catalogue-level filtering.</w:t>
      </w:r>
    </w:p>
    <w:p/>
    <w:p>
      <w:pPr>
        <w:pStyle w:val="ListBullet"/>
        <w:ind w:left="360"/>
      </w:pPr>
      <w:r>
        <w:rPr>
          <w:rFonts w:ascii="Arial" w:hAnsi="Arial"/>
          <w:sz w:val="22"/>
        </w:rPr>
        <w:t>requestedLanguage — ISO 639-1 code for the language in which the forecast should be delivered (e.g., 'mr' for Marathi).</w:t>
      </w:r>
    </w:p>
    <w:p>
      <w:pPr>
        <w:pStyle w:val="ListBullet"/>
        <w:ind w:left="360"/>
      </w:pPr>
      <w:r>
        <w:rPr>
          <w:rFonts w:ascii="Arial" w:hAnsi="Arial"/>
          <w:sz w:val="22"/>
        </w:rPr>
        <w:t>contentAccessUrl — populated by the BPP post-payment, providing the download link or API endpoint for the forecast data.</w:t>
      </w:r>
    </w:p>
    <w:p>
      <w:pPr>
        <w:pStyle w:val="ListBullet"/>
        <w:ind w:left="360"/>
      </w:pPr>
      <w:r>
        <w:rPr>
          <w:rFonts w:ascii="Arial" w:hAnsi="Arial"/>
          <w:sz w:val="22"/>
        </w:rPr>
        <w:t>contentAccessExpiry — expiry date-time of the access link (e.g., 30 days from purchase).</w:t>
      </w:r>
    </w:p>
    <w:p>
      <w:pPr>
        <w:pStyle w:val="ListBullet"/>
        <w:ind w:left="360"/>
      </w:pPr>
      <w:r>
        <w:rPr>
          <w:rFonts w:ascii="Arial" w:hAnsi="Arial"/>
          <w:sz w:val="22"/>
        </w:rPr>
        <w:t>deliveryMode — PDF_DOWNLOAD | API_RESPONSE | EMAIL_ATTACHMENT | IN_APP_DISPLAY depending on the provider's delivery mechanism.</w:t>
      </w:r>
    </w:p>
    <w:p>
      <w:r>
        <w:br w:type="page"/>
      </w:r>
    </w:p>
    <w:p>
      <w:pPr>
        <w:pStyle w:val="Heading1"/>
      </w:pPr>
      <w:r>
        <w:t>10. Implementation Guidance</w:t>
      </w:r>
    </w:p>
    <w:p>
      <w:pPr>
        <w:pStyle w:val="Heading2"/>
      </w:pPr>
      <w:r>
        <w:t>10.1 Building a Seeker Platform (BAP)</w:t>
      </w:r>
    </w:p>
    <w:p>
      <w:r>
        <w:rPr>
          <w:rFonts w:ascii="Arial" w:hAnsi="Arial"/>
          <w:b w:val="0"/>
          <w:i w:val="0"/>
          <w:sz w:val="22"/>
        </w:rPr>
        <w:t>To build a BAP that participates in the advisory:agri network, follow these steps. You are responsible for building and deploying the BAP client application and the Beckn-ONIX adapter; the network environment provides the remaining infrastructure components (Participant Registry, Gateway, and BPP providers).</w:t>
      </w:r>
    </w:p>
    <w:p>
      <w:pPr>
        <w:pStyle w:val="ListBullet"/>
        <w:ind w:left="360"/>
      </w:pPr>
      <w:r>
        <w:rPr>
          <w:rFonts w:ascii="Arial" w:hAnsi="Arial"/>
          <w:sz w:val="22"/>
        </w:rPr>
        <w:t>Identify which use cases your application will support (UC1, UC2, UC3, or all three).</w:t>
      </w:r>
    </w:p>
    <w:p>
      <w:pPr>
        <w:pStyle w:val="ListBullet"/>
        <w:ind w:left="360"/>
      </w:pPr>
      <w:r>
        <w:rPr>
          <w:rFonts w:ascii="Arial" w:hAnsi="Arial"/>
          <w:sz w:val="22"/>
        </w:rPr>
        <w:t>Design and build the user-facing application. This typically involves an application server (the BAP client) that constructs Beckn API request messages, sends them via the ONIX adapter, and processes the asynchronous responses returned through it.</w:t>
      </w:r>
    </w:p>
    <w:p>
      <w:pPr>
        <w:pStyle w:val="ListBullet"/>
        <w:ind w:left="360"/>
      </w:pPr>
      <w:r>
        <w:rPr>
          <w:rFonts w:ascii="Arial" w:hAnsi="Arial"/>
          <w:sz w:val="22"/>
        </w:rPr>
        <w:t>Implement JSON message construction for the relevant Beckn v2 API calls (discover, select, init, confirm, status, cancel) using the advisory:agri schema extensions documented in this guide.</w:t>
      </w:r>
    </w:p>
    <w:p>
      <w:pPr>
        <w:pStyle w:val="ListBullet"/>
        <w:ind w:left="360"/>
      </w:pPr>
      <w:r>
        <w:rPr>
          <w:rFonts w:ascii="Arial" w:hAnsi="Arial"/>
          <w:sz w:val="22"/>
        </w:rPr>
        <w:t>Deploy Beckn-ONIX as your BAP-side protocol adapter. During configuration you will need: the Participant Registry endpoint for your target network environment, a Subscriber URL (the address at which your application will receive Beckn responses), and a subscriber_id. Refer to https://docs.beckn.io for environment-specific configuration values and the latest ONIX deployment guide.</w:t>
      </w:r>
    </w:p>
    <w:p>
      <w:pPr>
        <w:pStyle w:val="ListBullet"/>
        <w:ind w:left="360"/>
      </w:pPr>
      <w:r>
        <w:rPr>
          <w:rFonts w:ascii="Arial" w:hAnsi="Arial"/>
          <w:sz w:val="22"/>
        </w:rPr>
        <w:t>Configure your ONIX adapter to reference the advisory:agri schema pack from the Schema Registry. ONIX uses this to validate outbound requests and inbound responses against the domain's typed extension schemas — no local schema file installation is required.</w:t>
      </w:r>
    </w:p>
    <w:p>
      <w:pPr>
        <w:pStyle w:val="ListBullet"/>
        <w:ind w:left="360"/>
      </w:pPr>
      <w:r>
        <w:rPr>
          <w:rFonts w:ascii="Arial" w:hAnsi="Arial"/>
          <w:sz w:val="22"/>
        </w:rPr>
        <w:t>Register your BAP as a participant through the network's Participant Registry onboarding process. Refer to https://docs.beckn.io for registration steps and any network-operator-specific approval requirements.</w:t>
      </w:r>
    </w:p>
    <w:p>
      <w:pPr>
        <w:pStyle w:val="ListBullet"/>
        <w:ind w:left="360"/>
      </w:pPr>
      <w:r>
        <w:rPr>
          <w:rFonts w:ascii="Arial" w:hAnsi="Arial"/>
          <w:sz w:val="22"/>
        </w:rPr>
        <w:t>Test your integration against the network sandbox environment. The sandbox provides the network infrastructure components needed for end-to-end testing; you provide the BAP client and ONIX adapter. Refer to https://docs.beckn.io for sandbox access details.</w:t>
      </w:r>
    </w:p>
    <w:p>
      <w:pPr>
        <w:pStyle w:val="ListBullet"/>
        <w:ind w:left="360"/>
      </w:pPr>
      <w:r>
        <w:rPr>
          <w:rFonts w:ascii="Arial" w:hAnsi="Arial"/>
          <w:sz w:val="22"/>
        </w:rPr>
        <w:t>Once verified on the sandbox, follow the production onboarding process documented at https://docs.beckn.io to move to pre-production and production.</w:t>
      </w:r>
    </w:p>
    <w:p>
      <w:pPr>
        <w:pStyle w:val="Heading2"/>
      </w:pPr>
      <w:r>
        <w:t>10.2 Building a Provider Platform (BPP)</w:t>
      </w:r>
    </w:p>
    <w:p>
      <w:r>
        <w:rPr>
          <w:rFonts w:ascii="Arial" w:hAnsi="Arial"/>
          <w:b w:val="0"/>
          <w:i w:val="0"/>
          <w:sz w:val="22"/>
        </w:rPr>
        <w:t>To build a BPP that provides advisory services on the network, follow these steps. You are responsible for building and deploying your provider application, the inbound request handler, and the Beckn-ONIX adapter; the network environment provides the remaining infrastructure components.</w:t>
      </w:r>
    </w:p>
    <w:p>
      <w:pPr>
        <w:pStyle w:val="ListBullet"/>
        <w:ind w:left="360"/>
      </w:pPr>
      <w:r>
        <w:rPr>
          <w:rFonts w:ascii="Arial" w:hAnsi="Arial"/>
          <w:sz w:val="22"/>
        </w:rPr>
        <w:t>Decide which use case(s) your platform will serve (crop advisory, commodity price data, or weather forecasts).</w:t>
      </w:r>
    </w:p>
    <w:p>
      <w:pPr>
        <w:pStyle w:val="ListBullet"/>
        <w:ind w:left="360"/>
      </w:pPr>
      <w:r>
        <w:rPr>
          <w:rFonts w:ascii="Arial" w:hAnsi="Arial"/>
          <w:sz w:val="22"/>
        </w:rPr>
        <w:t>Design and build the inbound request handler — an endpoint (webhook_url) that receives all incoming Beckn requests (discover, select, init, confirm, status, cancel) and dispatches responses back via the ONIX adapter client. This handler can be a standalone component or embedded in your existing platform — that is a design decision based on your architecture. The ONIX adapter client address must be configured in this handler so it can route responses correctly.</w:t>
      </w:r>
    </w:p>
    <w:p>
      <w:pPr>
        <w:pStyle w:val="ListBullet"/>
        <w:ind w:left="360"/>
      </w:pPr>
      <w:r>
        <w:rPr>
          <w:rFonts w:ascii="Arial" w:hAnsi="Arial"/>
          <w:sz w:val="22"/>
        </w:rPr>
        <w:t>Implement your catalogue using the relevant extension schemas (CropAdvisoryItemAttributes for UC1, CommodityPriceItemAttributes for UC2, WeatherForecastItemAttributes for UC3) and return structured on_discover responses.</w:t>
      </w:r>
    </w:p>
    <w:p>
      <w:pPr>
        <w:pStyle w:val="ListBullet"/>
        <w:ind w:left="360"/>
      </w:pPr>
      <w:r>
        <w:rPr>
          <w:rFonts w:ascii="Arial" w:hAnsi="Arial"/>
          <w:sz w:val="22"/>
        </w:rPr>
        <w:t>For paid use cases (UC1 and UC3), implement the full order management flow: order ID generation, payment verification, content access URL generation, and cancellation handling.</w:t>
      </w:r>
    </w:p>
    <w:p>
      <w:pPr>
        <w:pStyle w:val="ListBullet"/>
        <w:ind w:left="360"/>
      </w:pPr>
      <w:r>
        <w:rPr>
          <w:rFonts w:ascii="Arial" w:hAnsi="Arial"/>
          <w:sz w:val="22"/>
        </w:rPr>
        <w:t>For price data (UC2), implement only the on_discover response — no transactional APIs are required.</w:t>
      </w:r>
    </w:p>
    <w:p>
      <w:pPr>
        <w:pStyle w:val="ListBullet"/>
        <w:ind w:left="360"/>
      </w:pPr>
      <w:r>
        <w:rPr>
          <w:rFonts w:ascii="Arial" w:hAnsi="Arial"/>
          <w:sz w:val="22"/>
        </w:rPr>
        <w:t>Deploy Beckn-ONIX as your BPP-side protocol adapter. During configuration you will need: the Participant Registry endpoint for your target environment, a Subscriber URL, a subscriber_id, and the webhook_url from the step above. Refer to https://docs.beckn.io for environment-specific values and the latest ONIX deployment guide.</w:t>
      </w:r>
    </w:p>
    <w:p>
      <w:pPr>
        <w:pStyle w:val="ListBullet"/>
        <w:ind w:left="360"/>
      </w:pPr>
      <w:r>
        <w:rPr>
          <w:rFonts w:ascii="Arial" w:hAnsi="Arial"/>
          <w:sz w:val="22"/>
        </w:rPr>
        <w:t>Configure your ONIX adapter to reference the advisory:agri schema pack from the Schema Registry for request and response validation.</w:t>
      </w:r>
    </w:p>
    <w:p>
      <w:pPr>
        <w:pStyle w:val="ListBullet"/>
        <w:ind w:left="360"/>
      </w:pPr>
      <w:r>
        <w:rPr>
          <w:rFonts w:ascii="Arial" w:hAnsi="Arial"/>
          <w:sz w:val="22"/>
        </w:rPr>
        <w:t>Register your BPP through the network's Participant Registry onboarding process. Refer to https://docs.beckn.io for registration steps.</w:t>
      </w:r>
    </w:p>
    <w:p>
      <w:pPr>
        <w:pStyle w:val="ListBullet"/>
        <w:ind w:left="360"/>
      </w:pPr>
      <w:r>
        <w:rPr>
          <w:rFonts w:ascii="Arial" w:hAnsi="Arial"/>
          <w:sz w:val="22"/>
        </w:rPr>
        <w:t>Test your integration against the network sandbox. The sandbox provides the BAP-side and network infrastructure components; you provide the provider application, webhook handler, and ONIX adapter. Refer to https://docs.beckn.io for sandbox access and test collection details.</w:t>
      </w:r>
    </w:p>
    <w:p>
      <w:pPr>
        <w:pStyle w:val="ListBullet"/>
        <w:ind w:left="360"/>
      </w:pPr>
      <w:r>
        <w:rPr>
          <w:rFonts w:ascii="Arial" w:hAnsi="Arial"/>
          <w:sz w:val="22"/>
        </w:rPr>
        <w:t>Once verified on the sandbox, follow the production onboarding process at https://docs.beckn.io to move to pre-production and production.</w:t>
      </w:r>
    </w:p>
    <w:p>
      <w:pPr>
        <w:pStyle w:val="Heading2"/>
      </w:pPr>
      <w:r>
        <w:t>10.3 Beckn v1 → v2 Migration Notes</w:t>
      </w:r>
    </w:p>
    <w:p>
      <w:r>
        <w:rPr>
          <w:rFonts w:ascii="Arial" w:hAnsi="Arial"/>
          <w:b w:val="0"/>
          <w:i w:val="0"/>
          <w:sz w:val="22"/>
        </w:rPr>
        <w:t>Teams migrating from advisory:uki (v1) to advisory:agri (v2) should note the following field-level changes per use case. Fields that were expressed as untyped tag key-value pairs in v1 are now first-class typed properties on the relevant extension schema in v2.</w:t>
      </w:r>
    </w:p>
    <w:p>
      <w:pPr>
        <w:pStyle w:val="Heading3"/>
      </w:pPr>
      <w:r>
        <w:t>UC1 — Crop / Disease Advisory</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1F5C99"/>
          </w:tcPr>
          <w:p>
            <w:pPr>
              <w:jc w:val="center"/>
            </w:pPr>
            <w:r>
              <w:rPr>
                <w:rFonts w:ascii="Arial" w:hAnsi="Arial"/>
                <w:b/>
                <w:color w:val="FFFFFF"/>
                <w:sz w:val="20"/>
              </w:rPr>
              <w:t>v1 Field / Tag</w:t>
            </w:r>
          </w:p>
        </w:tc>
        <w:tc>
          <w:tcPr>
            <w:tcW w:type="dxa" w:w="3685"/>
            <w:shd w:val="clear" w:color="auto" w:fill="1F5C99"/>
          </w:tcPr>
          <w:p>
            <w:pPr>
              <w:jc w:val="center"/>
            </w:pPr>
            <w:r>
              <w:rPr>
                <w:rFonts w:ascii="Arial" w:hAnsi="Arial"/>
                <w:b/>
                <w:color w:val="FFFFFF"/>
                <w:sz w:val="20"/>
              </w:rPr>
              <w:t>v2 Location</w:t>
            </w:r>
          </w:p>
        </w:tc>
        <w:tc>
          <w:tcPr>
            <w:tcW w:type="dxa" w:w="3118"/>
            <w:shd w:val="clear" w:color="auto" w:fill="1F5C99"/>
          </w:tcPr>
          <w:p>
            <w:pPr>
              <w:jc w:val="center"/>
            </w:pPr>
            <w:r>
              <w:rPr>
                <w:rFonts w:ascii="Arial" w:hAnsi="Arial"/>
                <w:b/>
                <w:color w:val="FFFFFF"/>
                <w:sz w:val="20"/>
              </w:rPr>
              <w:t>Notes</w:t>
            </w:r>
          </w:p>
        </w:tc>
      </w:tr>
      <w:tr>
        <w:tc>
          <w:tcPr>
            <w:tcW w:type="dxa" w:w="3118"/>
            <w:shd w:val="clear" w:color="auto" w:fill="EBF3FB"/>
          </w:tcPr>
          <w:p>
            <w:r>
              <w:rPr>
                <w:rFonts w:ascii="Arial" w:hAnsi="Arial"/>
                <w:sz w:val="20"/>
              </w:rPr>
              <w:t>context.domain = "advisory:uki"</w:t>
            </w:r>
          </w:p>
        </w:tc>
        <w:tc>
          <w:tcPr>
            <w:tcW w:type="dxa" w:w="3685"/>
            <w:shd w:val="clear" w:color="auto" w:fill="EBF3FB"/>
          </w:tcPr>
          <w:p>
            <w:r>
              <w:rPr>
                <w:rFonts w:ascii="Arial" w:hAnsi="Arial"/>
                <w:sz w:val="20"/>
              </w:rPr>
              <w:t>context.domain = "advisory:agri"</w:t>
            </w:r>
          </w:p>
        </w:tc>
        <w:tc>
          <w:tcPr>
            <w:tcW w:type="dxa" w:w="3118"/>
            <w:shd w:val="clear" w:color="auto" w:fill="EBF3FB"/>
          </w:tcPr>
          <w:p>
            <w:r>
              <w:rPr>
                <w:rFonts w:ascii="Arial" w:hAnsi="Arial"/>
                <w:sz w:val="20"/>
              </w:rPr>
              <w:t>Domain code updated</w:t>
            </w:r>
          </w:p>
        </w:tc>
      </w:tr>
      <w:tr>
        <w:tc>
          <w:tcPr>
            <w:tcW w:type="dxa" w:w="3118"/>
          </w:tcPr>
          <w:p>
            <w:r>
              <w:rPr>
                <w:rFonts w:ascii="Arial" w:hAnsi="Arial"/>
                <w:sz w:val="20"/>
              </w:rPr>
              <w:t>item.tags[category.code] = "disease-control"</w:t>
            </w:r>
          </w:p>
        </w:tc>
        <w:tc>
          <w:tcPr>
            <w:tcW w:type="dxa" w:w="3685"/>
          </w:tcPr>
          <w:p>
            <w:r>
              <w:rPr>
                <w:rFonts w:ascii="Arial" w:hAnsi="Arial"/>
                <w:sz w:val="20"/>
              </w:rPr>
              <w:t>CropAdvisoryItemAttributes.advisoryCategory = "DISEASE_CONTROL"</w:t>
            </w:r>
          </w:p>
        </w:tc>
        <w:tc>
          <w:tcPr>
            <w:tcW w:type="dxa" w:w="3118"/>
          </w:tcPr>
          <w:p>
            <w:r>
              <w:rPr>
                <w:rFonts w:ascii="Arial" w:hAnsi="Arial"/>
                <w:sz w:val="20"/>
              </w:rPr>
              <w:t>Promoted to typed enum</w:t>
            </w:r>
          </w:p>
        </w:tc>
      </w:tr>
      <w:tr>
        <w:tc>
          <w:tcPr>
            <w:tcW w:type="dxa" w:w="3118"/>
            <w:shd w:val="clear" w:color="auto" w:fill="EBF3FB"/>
          </w:tcPr>
          <w:p>
            <w:r>
              <w:rPr>
                <w:rFonts w:ascii="Arial" w:hAnsi="Arial"/>
                <w:sz w:val="20"/>
              </w:rPr>
              <w:t>item.tags[languages] = ["en","mr"]</w:t>
            </w:r>
          </w:p>
        </w:tc>
        <w:tc>
          <w:tcPr>
            <w:tcW w:type="dxa" w:w="3685"/>
            <w:shd w:val="clear" w:color="auto" w:fill="EBF3FB"/>
          </w:tcPr>
          <w:p>
            <w:r>
              <w:rPr>
                <w:rFonts w:ascii="Arial" w:hAnsi="Arial"/>
                <w:sz w:val="20"/>
              </w:rPr>
              <w:t>CropAdvisoryItemAttributes.languages</w:t>
            </w:r>
          </w:p>
        </w:tc>
        <w:tc>
          <w:tcPr>
            <w:tcW w:type="dxa" w:w="3118"/>
            <w:shd w:val="clear" w:color="auto" w:fill="EBF3FB"/>
          </w:tcPr>
          <w:p>
            <w:r>
              <w:rPr>
                <w:rFonts w:ascii="Arial" w:hAnsi="Arial"/>
                <w:sz w:val="20"/>
              </w:rPr>
              <w:t>First-class array field</w:t>
            </w:r>
          </w:p>
        </w:tc>
      </w:tr>
      <w:tr>
        <w:tc>
          <w:tcPr>
            <w:tcW w:type="dxa" w:w="3118"/>
          </w:tcPr>
          <w:p>
            <w:r>
              <w:rPr>
                <w:rFonts w:ascii="Arial" w:hAnsi="Arial"/>
                <w:sz w:val="20"/>
              </w:rPr>
              <w:t>item.tags[crop-details.crop-name]</w:t>
            </w:r>
          </w:p>
        </w:tc>
        <w:tc>
          <w:tcPr>
            <w:tcW w:type="dxa" w:w="3685"/>
          </w:tcPr>
          <w:p>
            <w:r>
              <w:rPr>
                <w:rFonts w:ascii="Arial" w:hAnsi="Arial"/>
                <w:sz w:val="20"/>
              </w:rPr>
              <w:t>CropAdvisoryItemAttributes.cropContext.cropName</w:t>
            </w:r>
          </w:p>
        </w:tc>
        <w:tc>
          <w:tcPr>
            <w:tcW w:type="dxa" w:w="3118"/>
          </w:tcPr>
          <w:p>
            <w:r>
              <w:rPr>
                <w:rFonts w:ascii="Arial" w:hAnsi="Arial"/>
                <w:sz w:val="20"/>
              </w:rPr>
              <w:t>Nested sub-schema CropContext</w:t>
            </w:r>
          </w:p>
        </w:tc>
      </w:tr>
      <w:tr>
        <w:tc>
          <w:tcPr>
            <w:tcW w:type="dxa" w:w="3118"/>
            <w:shd w:val="clear" w:color="auto" w:fill="EBF3FB"/>
          </w:tcPr>
          <w:p>
            <w:r>
              <w:rPr>
                <w:rFonts w:ascii="Arial" w:hAnsi="Arial"/>
                <w:sz w:val="20"/>
              </w:rPr>
              <w:t>item.tags[crop-details.variety]</w:t>
            </w:r>
          </w:p>
        </w:tc>
        <w:tc>
          <w:tcPr>
            <w:tcW w:type="dxa" w:w="3685"/>
            <w:shd w:val="clear" w:color="auto" w:fill="EBF3FB"/>
          </w:tcPr>
          <w:p>
            <w:r>
              <w:rPr>
                <w:rFonts w:ascii="Arial" w:hAnsi="Arial"/>
                <w:sz w:val="20"/>
              </w:rPr>
              <w:t>CropAdvisoryItemAttributes.cropContext.cropVariety</w:t>
            </w:r>
          </w:p>
        </w:tc>
        <w:tc>
          <w:tcPr>
            <w:tcW w:type="dxa" w:w="3118"/>
            <w:shd w:val="clear" w:color="auto" w:fill="EBF3FB"/>
          </w:tcPr>
          <w:p>
            <w:r>
              <w:rPr>
                <w:rFonts w:ascii="Arial" w:hAnsi="Arial"/>
                <w:sz w:val="20"/>
              </w:rPr>
            </w:r>
          </w:p>
        </w:tc>
      </w:tr>
      <w:tr>
        <w:tc>
          <w:tcPr>
            <w:tcW w:type="dxa" w:w="3118"/>
          </w:tcPr>
          <w:p>
            <w:r>
              <w:rPr>
                <w:rFonts w:ascii="Arial" w:hAnsi="Arial"/>
                <w:sz w:val="20"/>
              </w:rPr>
              <w:t>item.tags[crop-details.plantation-date]</w:t>
            </w:r>
          </w:p>
        </w:tc>
        <w:tc>
          <w:tcPr>
            <w:tcW w:type="dxa" w:w="3685"/>
          </w:tcPr>
          <w:p>
            <w:r>
              <w:rPr>
                <w:rFonts w:ascii="Arial" w:hAnsi="Arial"/>
                <w:sz w:val="20"/>
              </w:rPr>
              <w:t>CropAdvisoryItemAttributes.cropContext.plantationDate</w:t>
            </w:r>
          </w:p>
        </w:tc>
        <w:tc>
          <w:tcPr>
            <w:tcW w:type="dxa" w:w="3118"/>
          </w:tcPr>
          <w:p>
            <w:r>
              <w:rPr>
                <w:rFonts w:ascii="Arial" w:hAnsi="Arial"/>
                <w:sz w:val="20"/>
              </w:rPr>
              <w:t>ISO 8601 date</w:t>
            </w:r>
          </w:p>
        </w:tc>
      </w:tr>
      <w:tr>
        <w:tc>
          <w:tcPr>
            <w:tcW w:type="dxa" w:w="3118"/>
            <w:shd w:val="clear" w:color="auto" w:fill="EBF3FB"/>
          </w:tcPr>
          <w:p>
            <w:r>
              <w:rPr>
                <w:rFonts w:ascii="Arial" w:hAnsi="Arial"/>
                <w:sz w:val="20"/>
              </w:rPr>
              <w:t>item.tags[crop-details.growth-stage]</w:t>
            </w:r>
          </w:p>
        </w:tc>
        <w:tc>
          <w:tcPr>
            <w:tcW w:type="dxa" w:w="3685"/>
            <w:shd w:val="clear" w:color="auto" w:fill="EBF3FB"/>
          </w:tcPr>
          <w:p>
            <w:r>
              <w:rPr>
                <w:rFonts w:ascii="Arial" w:hAnsi="Arial"/>
                <w:sz w:val="20"/>
              </w:rPr>
              <w:t>CropAdvisoryItemAttributes.cropContext.growthStage</w:t>
            </w:r>
          </w:p>
        </w:tc>
        <w:tc>
          <w:tcPr>
            <w:tcW w:type="dxa" w:w="3118"/>
            <w:shd w:val="clear" w:color="auto" w:fill="EBF3FB"/>
          </w:tcPr>
          <w:p>
            <w:r>
              <w:rPr>
                <w:rFonts w:ascii="Arial" w:hAnsi="Arial"/>
                <w:sz w:val="20"/>
              </w:rPr>
              <w:t>Typed enum</w:t>
            </w:r>
          </w:p>
        </w:tc>
      </w:tr>
      <w:tr>
        <w:tc>
          <w:tcPr>
            <w:tcW w:type="dxa" w:w="3118"/>
          </w:tcPr>
          <w:p>
            <w:r>
              <w:rPr>
                <w:rFonts w:ascii="Arial" w:hAnsi="Arial"/>
                <w:sz w:val="20"/>
              </w:rPr>
              <w:t>item.tags[crop-details.soil-type]</w:t>
            </w:r>
          </w:p>
        </w:tc>
        <w:tc>
          <w:tcPr>
            <w:tcW w:type="dxa" w:w="3685"/>
          </w:tcPr>
          <w:p>
            <w:r>
              <w:rPr>
                <w:rFonts w:ascii="Arial" w:hAnsi="Arial"/>
                <w:sz w:val="20"/>
              </w:rPr>
              <w:t>CropAdvisoryItemAttributes.cropContext.soilType</w:t>
            </w:r>
          </w:p>
        </w:tc>
        <w:tc>
          <w:tcPr>
            <w:tcW w:type="dxa" w:w="3118"/>
          </w:tcPr>
          <w:p>
            <w:r>
              <w:rPr>
                <w:rFonts w:ascii="Arial" w:hAnsi="Arial"/>
                <w:sz w:val="20"/>
              </w:rPr>
            </w:r>
          </w:p>
        </w:tc>
      </w:tr>
      <w:tr>
        <w:tc>
          <w:tcPr>
            <w:tcW w:type="dxa" w:w="3118"/>
            <w:shd w:val="clear" w:color="auto" w:fill="EBF3FB"/>
          </w:tcPr>
          <w:p>
            <w:r>
              <w:rPr>
                <w:rFonts w:ascii="Arial" w:hAnsi="Arial"/>
                <w:sz w:val="20"/>
              </w:rPr>
              <w:t>item.tags[crop-details.irrigation-type]</w:t>
            </w:r>
          </w:p>
        </w:tc>
        <w:tc>
          <w:tcPr>
            <w:tcW w:type="dxa" w:w="3685"/>
            <w:shd w:val="clear" w:color="auto" w:fill="EBF3FB"/>
          </w:tcPr>
          <w:p>
            <w:r>
              <w:rPr>
                <w:rFonts w:ascii="Arial" w:hAnsi="Arial"/>
                <w:sz w:val="20"/>
              </w:rPr>
              <w:t>CropAdvisoryItemAttributes.cropContext.irrigationType</w:t>
            </w:r>
          </w:p>
        </w:tc>
        <w:tc>
          <w:tcPr>
            <w:tcW w:type="dxa" w:w="3118"/>
            <w:shd w:val="clear" w:color="auto" w:fill="EBF3FB"/>
          </w:tcPr>
          <w:p>
            <w:r>
              <w:rPr>
                <w:rFonts w:ascii="Arial" w:hAnsi="Arial"/>
                <w:sz w:val="20"/>
              </w:rPr>
            </w:r>
          </w:p>
        </w:tc>
      </w:tr>
      <w:tr>
        <w:tc>
          <w:tcPr>
            <w:tcW w:type="dxa" w:w="3118"/>
          </w:tcPr>
          <w:p>
            <w:r>
              <w:rPr>
                <w:rFonts w:ascii="Arial" w:hAnsi="Arial"/>
                <w:sz w:val="20"/>
              </w:rPr>
              <w:t>item.tags[crop-details.disease-name]</w:t>
            </w:r>
          </w:p>
        </w:tc>
        <w:tc>
          <w:tcPr>
            <w:tcW w:type="dxa" w:w="3685"/>
          </w:tcPr>
          <w:p>
            <w:r>
              <w:rPr>
                <w:rFonts w:ascii="Arial" w:hAnsi="Arial"/>
                <w:sz w:val="20"/>
              </w:rPr>
              <w:t>CropAdvisoryItemAttributes.cropContext.diseaseName</w:t>
            </w:r>
          </w:p>
        </w:tc>
        <w:tc>
          <w:tcPr>
            <w:tcW w:type="dxa" w:w="3118"/>
          </w:tcPr>
          <w:p>
            <w:r>
              <w:rPr>
                <w:rFonts w:ascii="Arial" w:hAnsi="Arial"/>
                <w:sz w:val="20"/>
              </w:rPr>
            </w:r>
          </w:p>
        </w:tc>
      </w:tr>
      <w:tr>
        <w:tc>
          <w:tcPr>
            <w:tcW w:type="dxa" w:w="3118"/>
            <w:shd w:val="clear" w:color="auto" w:fill="EBF3FB"/>
          </w:tcPr>
          <w:p>
            <w:r>
              <w:rPr>
                <w:rFonts w:ascii="Arial" w:hAnsi="Arial"/>
                <w:sz w:val="20"/>
              </w:rPr>
              <w:t>item.tags[environment]</w:t>
            </w:r>
          </w:p>
        </w:tc>
        <w:tc>
          <w:tcPr>
            <w:tcW w:type="dxa" w:w="3685"/>
            <w:shd w:val="clear" w:color="auto" w:fill="EBF3FB"/>
          </w:tcPr>
          <w:p>
            <w:r>
              <w:rPr>
                <w:rFonts w:ascii="Arial" w:hAnsi="Arial"/>
                <w:sz w:val="20"/>
              </w:rPr>
              <w:t>Removed</w:t>
            </w:r>
          </w:p>
        </w:tc>
        <w:tc>
          <w:tcPr>
            <w:tcW w:type="dxa" w:w="3118"/>
            <w:shd w:val="clear" w:color="auto" w:fill="EBF3FB"/>
          </w:tcPr>
          <w:p>
            <w:r>
              <w:rPr>
                <w:rFonts w:ascii="Arial" w:hAnsi="Arial"/>
                <w:sz w:val="20"/>
              </w:rPr>
              <w:t>Environmental context was ambient; not core to item identity</w:t>
            </w:r>
          </w:p>
        </w:tc>
      </w:tr>
      <w:tr>
        <w:tc>
          <w:tcPr>
            <w:tcW w:type="dxa" w:w="3118"/>
          </w:tcPr>
          <w:p>
            <w:r>
              <w:rPr>
                <w:rFonts w:ascii="Arial" w:hAnsi="Arial"/>
                <w:sz w:val="20"/>
              </w:rPr>
              <w:t>item.media[].url + mimetype</w:t>
            </w:r>
          </w:p>
        </w:tc>
        <w:tc>
          <w:tcPr>
            <w:tcW w:type="dxa" w:w="3685"/>
          </w:tcPr>
          <w:p>
            <w:r>
              <w:rPr>
                <w:rFonts w:ascii="Arial" w:hAnsi="Arial"/>
                <w:sz w:val="20"/>
              </w:rPr>
              <w:t>CropAdvisoryItemAttributes.contentUrl + contentMimeType</w:t>
            </w:r>
          </w:p>
        </w:tc>
        <w:tc>
          <w:tcPr>
            <w:tcW w:type="dxa" w:w="3118"/>
          </w:tcPr>
          <w:p>
            <w:r>
              <w:rPr>
                <w:rFonts w:ascii="Arial" w:hAnsi="Arial"/>
                <w:sz w:val="20"/>
              </w:rPr>
            </w:r>
          </w:p>
        </w:tc>
      </w:tr>
      <w:tr>
        <w:tc>
          <w:tcPr>
            <w:tcW w:type="dxa" w:w="3118"/>
            <w:shd w:val="clear" w:color="auto" w:fill="EBF3FB"/>
          </w:tcPr>
          <w:p>
            <w:r>
              <w:rPr>
                <w:rFonts w:ascii="Arial" w:hAnsi="Arial"/>
                <w:sz w:val="20"/>
              </w:rPr>
              <w:t>item.media[].mimetype enum</w:t>
            </w:r>
          </w:p>
        </w:tc>
        <w:tc>
          <w:tcPr>
            <w:tcW w:type="dxa" w:w="3685"/>
            <w:shd w:val="clear" w:color="auto" w:fill="EBF3FB"/>
          </w:tcPr>
          <w:p>
            <w:r>
              <w:rPr>
                <w:rFonts w:ascii="Arial" w:hAnsi="Arial"/>
                <w:sz w:val="20"/>
              </w:rPr>
              <w:t>CropAdvisoryItemAttributes.contentType (TEXT/VIDEO/PDF/AUDIO/...)</w:t>
            </w:r>
          </w:p>
        </w:tc>
        <w:tc>
          <w:tcPr>
            <w:tcW w:type="dxa" w:w="3118"/>
            <w:shd w:val="clear" w:color="auto" w:fill="EBF3FB"/>
          </w:tcPr>
          <w:p>
            <w:r>
              <w:rPr>
                <w:rFonts w:ascii="Arial" w:hAnsi="Arial"/>
                <w:sz w:val="20"/>
              </w:rPr>
              <w:t>Typed enum replaces IANA string</w:t>
            </w:r>
          </w:p>
        </w:tc>
      </w:tr>
      <w:tr>
        <w:tc>
          <w:tcPr>
            <w:tcW w:type="dxa" w:w="3118"/>
          </w:tcPr>
          <w:p>
            <w:r>
              <w:rPr>
                <w:rFonts w:ascii="Arial" w:hAnsi="Arial"/>
                <w:sz w:val="20"/>
              </w:rPr>
              <w:t>intent.tags[crop-details]</w:t>
            </w:r>
          </w:p>
        </w:tc>
        <w:tc>
          <w:tcPr>
            <w:tcW w:type="dxa" w:w="3685"/>
          </w:tcPr>
          <w:p>
            <w:r>
              <w:rPr>
                <w:rFonts w:ascii="Arial" w:hAnsi="Arial"/>
                <w:sz w:val="20"/>
              </w:rPr>
              <w:t>fulfillmentAttributes.targetLocation + item catalog filtering</w:t>
            </w:r>
          </w:p>
        </w:tc>
        <w:tc>
          <w:tcPr>
            <w:tcW w:type="dxa" w:w="3118"/>
          </w:tcPr>
          <w:p>
            <w:r>
              <w:rPr>
                <w:rFonts w:ascii="Arial" w:hAnsi="Arial"/>
                <w:sz w:val="20"/>
              </w:rPr>
              <w:t>Search intent params move to fulfillment or catalog filter</w:t>
            </w:r>
          </w:p>
        </w:tc>
      </w:tr>
      <w:tr>
        <w:tc>
          <w:tcPr>
            <w:tcW w:type="dxa" w:w="3118"/>
            <w:shd w:val="clear" w:color="auto" w:fill="EBF3FB"/>
          </w:tcPr>
          <w:p>
            <w:r>
              <w:rPr>
                <w:rFonts w:ascii="Arial" w:hAnsi="Arial"/>
                <w:sz w:val="20"/>
              </w:rPr>
              <w:t>fulfillment.type = "HOME_DELIVERY"</w:t>
            </w:r>
          </w:p>
        </w:tc>
        <w:tc>
          <w:tcPr>
            <w:tcW w:type="dxa" w:w="3685"/>
            <w:shd w:val="clear" w:color="auto" w:fill="EBF3FB"/>
          </w:tcPr>
          <w:p>
            <w:r>
              <w:rPr>
                <w:rFonts w:ascii="Arial" w:hAnsi="Arial"/>
                <w:sz w:val="20"/>
              </w:rPr>
              <w:t>fulfillment.mode = "DIGITAL"</w:t>
            </w:r>
          </w:p>
        </w:tc>
        <w:tc>
          <w:tcPr>
            <w:tcW w:type="dxa" w:w="3118"/>
            <w:shd w:val="clear" w:color="auto" w:fill="EBF3FB"/>
          </w:tcPr>
          <w:p>
            <w:r>
              <w:rPr>
                <w:rFonts w:ascii="Arial" w:hAnsi="Arial"/>
                <w:sz w:val="20"/>
              </w:rPr>
              <w:t>Digital delivery mode</w:t>
            </w:r>
          </w:p>
        </w:tc>
      </w:tr>
      <w:tr>
        <w:tc>
          <w:tcPr>
            <w:tcW w:type="dxa" w:w="3118"/>
          </w:tcPr>
          <w:p>
            <w:r>
              <w:rPr>
                <w:rFonts w:ascii="Arial" w:hAnsi="Arial"/>
                <w:sz w:val="20"/>
              </w:rPr>
              <w:t>order.cancellation_terms</w:t>
            </w:r>
          </w:p>
        </w:tc>
        <w:tc>
          <w:tcPr>
            <w:tcW w:type="dxa" w:w="3685"/>
          </w:tcPr>
          <w:p>
            <w:r>
              <w:rPr>
                <w:rFonts w:ascii="Arial" w:hAnsi="Arial"/>
                <w:sz w:val="20"/>
              </w:rPr>
              <w:t>AgriAdvisoryOfferAttributes.cancellationPolicy</w:t>
            </w:r>
          </w:p>
        </w:tc>
        <w:tc>
          <w:tcPr>
            <w:tcW w:type="dxa" w:w="3118"/>
          </w:tcPr>
          <w:p>
            <w:r>
              <w:rPr>
                <w:rFonts w:ascii="Arial" w:hAnsi="Arial"/>
                <w:sz w:val="20"/>
              </w:rPr>
              <w:t>Structured sub-schema with refund window and percentage</w:t>
            </w:r>
          </w:p>
        </w:tc>
      </w:tr>
    </w:tbl>
    <w:p/>
    <w:p>
      <w:pPr>
        <w:pStyle w:val="Heading3"/>
      </w:pPr>
      <w:r>
        <w:t>UC2 — Commodity Price Listing</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1F5C99"/>
          </w:tcPr>
          <w:p>
            <w:pPr>
              <w:jc w:val="center"/>
            </w:pPr>
            <w:r>
              <w:rPr>
                <w:rFonts w:ascii="Arial" w:hAnsi="Arial"/>
                <w:b/>
                <w:color w:val="FFFFFF"/>
                <w:sz w:val="20"/>
              </w:rPr>
              <w:t>v1 Field / Tag</w:t>
            </w:r>
          </w:p>
        </w:tc>
        <w:tc>
          <w:tcPr>
            <w:tcW w:type="dxa" w:w="3685"/>
            <w:shd w:val="clear" w:color="auto" w:fill="1F5C99"/>
          </w:tcPr>
          <w:p>
            <w:pPr>
              <w:jc w:val="center"/>
            </w:pPr>
            <w:r>
              <w:rPr>
                <w:rFonts w:ascii="Arial" w:hAnsi="Arial"/>
                <w:b/>
                <w:color w:val="FFFFFF"/>
                <w:sz w:val="20"/>
              </w:rPr>
              <w:t>v2 Location</w:t>
            </w:r>
          </w:p>
        </w:tc>
        <w:tc>
          <w:tcPr>
            <w:tcW w:type="dxa" w:w="3118"/>
            <w:shd w:val="clear" w:color="auto" w:fill="1F5C99"/>
          </w:tcPr>
          <w:p>
            <w:pPr>
              <w:jc w:val="center"/>
            </w:pPr>
            <w:r>
              <w:rPr>
                <w:rFonts w:ascii="Arial" w:hAnsi="Arial"/>
                <w:b/>
                <w:color w:val="FFFFFF"/>
                <w:sz w:val="20"/>
              </w:rPr>
              <w:t>Notes</w:t>
            </w:r>
          </w:p>
        </w:tc>
      </w:tr>
      <w:tr>
        <w:tc>
          <w:tcPr>
            <w:tcW w:type="dxa" w:w="3118"/>
            <w:shd w:val="clear" w:color="auto" w:fill="EBF3FB"/>
          </w:tcPr>
          <w:p>
            <w:r>
              <w:rPr>
                <w:rFonts w:ascii="Arial" w:hAnsi="Arial"/>
                <w:sz w:val="20"/>
              </w:rPr>
              <w:t>item.descriptor.name (commodity name)</w:t>
            </w:r>
          </w:p>
        </w:tc>
        <w:tc>
          <w:tcPr>
            <w:tcW w:type="dxa" w:w="3685"/>
            <w:shd w:val="clear" w:color="auto" w:fill="EBF3FB"/>
          </w:tcPr>
          <w:p>
            <w:r>
              <w:rPr>
                <w:rFonts w:ascii="Arial" w:hAnsi="Arial"/>
                <w:sz w:val="20"/>
              </w:rPr>
              <w:t>CommodityPriceItemAttributes.commodityName</w:t>
            </w:r>
          </w:p>
        </w:tc>
        <w:tc>
          <w:tcPr>
            <w:tcW w:type="dxa" w:w="3118"/>
            <w:shd w:val="clear" w:color="auto" w:fill="EBF3FB"/>
          </w:tcPr>
          <w:p>
            <w:r>
              <w:rPr>
                <w:rFonts w:ascii="Arial" w:hAnsi="Arial"/>
                <w:sz w:val="20"/>
              </w:rPr>
            </w:r>
          </w:p>
        </w:tc>
      </w:tr>
      <w:tr>
        <w:tc>
          <w:tcPr>
            <w:tcW w:type="dxa" w:w="3118"/>
          </w:tcPr>
          <w:p>
            <w:r>
              <w:rPr>
                <w:rFonts w:ascii="Arial" w:hAnsi="Arial"/>
                <w:sz w:val="20"/>
              </w:rPr>
              <w:t>item.tags[commodity-details.variety]</w:t>
            </w:r>
          </w:p>
        </w:tc>
        <w:tc>
          <w:tcPr>
            <w:tcW w:type="dxa" w:w="3685"/>
          </w:tcPr>
          <w:p>
            <w:r>
              <w:rPr>
                <w:rFonts w:ascii="Arial" w:hAnsi="Arial"/>
                <w:sz w:val="20"/>
              </w:rPr>
              <w:t>CommodityPriceItemAttributes.commodityVariety</w:t>
            </w:r>
          </w:p>
        </w:tc>
        <w:tc>
          <w:tcPr>
            <w:tcW w:type="dxa" w:w="3118"/>
          </w:tcPr>
          <w:p>
            <w:r>
              <w:rPr>
                <w:rFonts w:ascii="Arial" w:hAnsi="Arial"/>
                <w:sz w:val="20"/>
              </w:rPr>
            </w:r>
          </w:p>
        </w:tc>
      </w:tr>
      <w:tr>
        <w:tc>
          <w:tcPr>
            <w:tcW w:type="dxa" w:w="3118"/>
            <w:shd w:val="clear" w:color="auto" w:fill="EBF3FB"/>
          </w:tcPr>
          <w:p>
            <w:r>
              <w:rPr>
                <w:rFonts w:ascii="Arial" w:hAnsi="Arial"/>
                <w:sz w:val="20"/>
              </w:rPr>
              <w:t>item.tags[commodity-details.grade]</w:t>
            </w:r>
          </w:p>
        </w:tc>
        <w:tc>
          <w:tcPr>
            <w:tcW w:type="dxa" w:w="3685"/>
            <w:shd w:val="clear" w:color="auto" w:fill="EBF3FB"/>
          </w:tcPr>
          <w:p>
            <w:r>
              <w:rPr>
                <w:rFonts w:ascii="Arial" w:hAnsi="Arial"/>
                <w:sz w:val="20"/>
              </w:rPr>
              <w:t>CommodityPriceItemAttributes.commodityGrade</w:t>
            </w:r>
          </w:p>
        </w:tc>
        <w:tc>
          <w:tcPr>
            <w:tcW w:type="dxa" w:w="3118"/>
            <w:shd w:val="clear" w:color="auto" w:fill="EBF3FB"/>
          </w:tcPr>
          <w:p>
            <w:r>
              <w:rPr>
                <w:rFonts w:ascii="Arial" w:hAnsi="Arial"/>
                <w:sz w:val="20"/>
              </w:rPr>
            </w:r>
          </w:p>
        </w:tc>
      </w:tr>
      <w:tr>
        <w:tc>
          <w:tcPr>
            <w:tcW w:type="dxa" w:w="3118"/>
          </w:tcPr>
          <w:p>
            <w:r>
              <w:rPr>
                <w:rFonts w:ascii="Arial" w:hAnsi="Arial"/>
                <w:sz w:val="20"/>
              </w:rPr>
              <w:t>item.price.minimum_value</w:t>
            </w:r>
          </w:p>
        </w:tc>
        <w:tc>
          <w:tcPr>
            <w:tcW w:type="dxa" w:w="3685"/>
          </w:tcPr>
          <w:p>
            <w:r>
              <w:rPr>
                <w:rFonts w:ascii="Arial" w:hAnsi="Arial"/>
                <w:sz w:val="20"/>
              </w:rPr>
              <w:t>CommodityMarketOfferAttributes.minPrice</w:t>
            </w:r>
          </w:p>
        </w:tc>
        <w:tc>
          <w:tcPr>
            <w:tcW w:type="dxa" w:w="3118"/>
          </w:tcPr>
          <w:p>
            <w:r>
              <w:rPr>
                <w:rFonts w:ascii="Arial" w:hAnsi="Arial"/>
                <w:sz w:val="20"/>
              </w:rPr>
              <w:t>Critical: price range moves from Item to Offer</w:t>
            </w:r>
          </w:p>
        </w:tc>
      </w:tr>
      <w:tr>
        <w:tc>
          <w:tcPr>
            <w:tcW w:type="dxa" w:w="3118"/>
            <w:shd w:val="clear" w:color="auto" w:fill="EBF3FB"/>
          </w:tcPr>
          <w:p>
            <w:r>
              <w:rPr>
                <w:rFonts w:ascii="Arial" w:hAnsi="Arial"/>
                <w:sz w:val="20"/>
              </w:rPr>
              <w:t>item.price.maximum_value</w:t>
            </w:r>
          </w:p>
        </w:tc>
        <w:tc>
          <w:tcPr>
            <w:tcW w:type="dxa" w:w="3685"/>
            <w:shd w:val="clear" w:color="auto" w:fill="EBF3FB"/>
          </w:tcPr>
          <w:p>
            <w:r>
              <w:rPr>
                <w:rFonts w:ascii="Arial" w:hAnsi="Arial"/>
                <w:sz w:val="20"/>
              </w:rPr>
              <w:t>CommodityMarketOfferAttributes.maxPrice</w:t>
            </w:r>
          </w:p>
        </w:tc>
        <w:tc>
          <w:tcPr>
            <w:tcW w:type="dxa" w:w="3118"/>
            <w:shd w:val="clear" w:color="auto" w:fill="EBF3FB"/>
          </w:tcPr>
          <w:p>
            <w:r>
              <w:rPr>
                <w:rFonts w:ascii="Arial" w:hAnsi="Arial"/>
                <w:sz w:val="20"/>
              </w:rPr>
            </w:r>
          </w:p>
        </w:tc>
      </w:tr>
      <w:tr>
        <w:tc>
          <w:tcPr>
            <w:tcW w:type="dxa" w:w="3118"/>
          </w:tcPr>
          <w:p>
            <w:r>
              <w:rPr>
                <w:rFonts w:ascii="Arial" w:hAnsi="Arial"/>
                <w:sz w:val="20"/>
              </w:rPr>
              <w:t>item.price.estimated_value</w:t>
            </w:r>
          </w:p>
        </w:tc>
        <w:tc>
          <w:tcPr>
            <w:tcW w:type="dxa" w:w="3685"/>
          </w:tcPr>
          <w:p>
            <w:r>
              <w:rPr>
                <w:rFonts w:ascii="Arial" w:hAnsi="Arial"/>
                <w:sz w:val="20"/>
              </w:rPr>
              <w:t>CommodityMarketOfferAttributes.averagePrice + core beckn:price</w:t>
            </w:r>
          </w:p>
        </w:tc>
        <w:tc>
          <w:tcPr>
            <w:tcW w:type="dxa" w:w="3118"/>
          </w:tcPr>
          <w:p>
            <w:r>
              <w:rPr>
                <w:rFonts w:ascii="Arial" w:hAnsi="Arial"/>
                <w:sz w:val="20"/>
              </w:rPr>
              <w:t>Core price = representative/modal price</w:t>
            </w:r>
          </w:p>
        </w:tc>
      </w:tr>
      <w:tr>
        <w:tc>
          <w:tcPr>
            <w:tcW w:type="dxa" w:w="3118"/>
            <w:shd w:val="clear" w:color="auto" w:fill="EBF3FB"/>
          </w:tcPr>
          <w:p>
            <w:r>
              <w:rPr>
                <w:rFonts w:ascii="Arial" w:hAnsi="Arial"/>
                <w:sz w:val="20"/>
              </w:rPr>
              <w:t>item.price.currency</w:t>
            </w:r>
          </w:p>
        </w:tc>
        <w:tc>
          <w:tcPr>
            <w:tcW w:type="dxa" w:w="3685"/>
            <w:shd w:val="clear" w:color="auto" w:fill="EBF3FB"/>
          </w:tcPr>
          <w:p>
            <w:r>
              <w:rPr>
                <w:rFonts w:ascii="Arial" w:hAnsi="Arial"/>
                <w:sz w:val="20"/>
              </w:rPr>
              <w:t>CommodityMarketOfferAttributes.currency</w:t>
            </w:r>
          </w:p>
        </w:tc>
        <w:tc>
          <w:tcPr>
            <w:tcW w:type="dxa" w:w="3118"/>
            <w:shd w:val="clear" w:color="auto" w:fill="EBF3FB"/>
          </w:tcPr>
          <w:p>
            <w:r>
              <w:rPr>
                <w:rFonts w:ascii="Arial" w:hAnsi="Arial"/>
                <w:sz w:val="20"/>
              </w:rPr>
              <w:t>Moves to Offer</w:t>
            </w:r>
          </w:p>
        </w:tc>
      </w:tr>
      <w:tr>
        <w:tc>
          <w:tcPr>
            <w:tcW w:type="dxa" w:w="3118"/>
          </w:tcPr>
          <w:p>
            <w:r>
              <w:rPr>
                <w:rFonts w:ascii="Arial" w:hAnsi="Arial"/>
                <w:sz w:val="20"/>
              </w:rPr>
              <w:t>item.tags[unit-of-measure]</w:t>
            </w:r>
          </w:p>
        </w:tc>
        <w:tc>
          <w:tcPr>
            <w:tcW w:type="dxa" w:w="3685"/>
          </w:tcPr>
          <w:p>
            <w:r>
              <w:rPr>
                <w:rFonts w:ascii="Arial" w:hAnsi="Arial"/>
                <w:sz w:val="20"/>
              </w:rPr>
              <w:t>CommodityMarketOfferAttributes.unitOfMeasure</w:t>
            </w:r>
          </w:p>
        </w:tc>
        <w:tc>
          <w:tcPr>
            <w:tcW w:type="dxa" w:w="3118"/>
          </w:tcPr>
          <w:p>
            <w:r>
              <w:rPr>
                <w:rFonts w:ascii="Arial" w:hAnsi="Arial"/>
                <w:sz w:val="20"/>
              </w:rPr>
              <w:t>Moves to Offer</w:t>
            </w:r>
          </w:p>
        </w:tc>
      </w:tr>
      <w:tr>
        <w:tc>
          <w:tcPr>
            <w:tcW w:type="dxa" w:w="3118"/>
            <w:shd w:val="clear" w:color="auto" w:fill="EBF3FB"/>
          </w:tcPr>
          <w:p>
            <w:r>
              <w:rPr>
                <w:rFonts w:ascii="Arial" w:hAnsi="Arial"/>
                <w:sz w:val="20"/>
              </w:rPr>
              <w:t>fulfillment.stops[0].location.gps</w:t>
            </w:r>
          </w:p>
        </w:tc>
        <w:tc>
          <w:tcPr>
            <w:tcW w:type="dxa" w:w="3685"/>
            <w:shd w:val="clear" w:color="auto" w:fill="EBF3FB"/>
          </w:tcPr>
          <w:p>
            <w:r>
              <w:rPr>
                <w:rFonts w:ascii="Arial" w:hAnsi="Arial"/>
                <w:sz w:val="20"/>
              </w:rPr>
              <w:t>AgriAdvisoryFulfillmentAttributes.targetLocation (GeoJSON Point)</w:t>
            </w:r>
          </w:p>
        </w:tc>
        <w:tc>
          <w:tcPr>
            <w:tcW w:type="dxa" w:w="3118"/>
            <w:shd w:val="clear" w:color="auto" w:fill="EBF3FB"/>
          </w:tcPr>
          <w:p>
            <w:r>
              <w:rPr>
                <w:rFonts w:ascii="Arial" w:hAnsi="Arial"/>
                <w:sz w:val="20"/>
              </w:rPr>
            </w:r>
          </w:p>
        </w:tc>
      </w:tr>
      <w:tr>
        <w:tc>
          <w:tcPr>
            <w:tcW w:type="dxa" w:w="3118"/>
          </w:tcPr>
          <w:p>
            <w:r>
              <w:rPr>
                <w:rFonts w:ascii="Arial" w:hAnsi="Arial"/>
                <w:sz w:val="20"/>
              </w:rPr>
              <w:t>intent.tags[price-date-range]</w:t>
            </w:r>
          </w:p>
        </w:tc>
        <w:tc>
          <w:tcPr>
            <w:tcW w:type="dxa" w:w="3685"/>
          </w:tcPr>
          <w:p>
            <w:r>
              <w:rPr>
                <w:rFonts w:ascii="Arial" w:hAnsi="Arial"/>
                <w:sz w:val="20"/>
              </w:rPr>
              <w:t>AgriAdvisoryFulfillmentAttributes.priceQueryTimeRange</w:t>
            </w:r>
          </w:p>
        </w:tc>
        <w:tc>
          <w:tcPr>
            <w:tcW w:type="dxa" w:w="3118"/>
          </w:tcPr>
          <w:p>
            <w:r>
              <w:rPr>
                <w:rFonts w:ascii="Arial" w:hAnsi="Arial"/>
                <w:sz w:val="20"/>
              </w:rPr>
              <w:t>Explicit {startDate, endDate} object</w:t>
            </w:r>
          </w:p>
        </w:tc>
      </w:tr>
      <w:tr>
        <w:tc>
          <w:tcPr>
            <w:tcW w:type="dxa" w:w="3118"/>
            <w:shd w:val="clear" w:color="auto" w:fill="EBF3FB"/>
          </w:tcPr>
          <w:p>
            <w:r>
              <w:rPr>
                <w:rFonts w:ascii="Arial" w:hAnsi="Arial"/>
                <w:sz w:val="20"/>
              </w:rPr>
              <w:t>intent.tags[radius]</w:t>
            </w:r>
          </w:p>
        </w:tc>
        <w:tc>
          <w:tcPr>
            <w:tcW w:type="dxa" w:w="3685"/>
            <w:shd w:val="clear" w:color="auto" w:fill="EBF3FB"/>
          </w:tcPr>
          <w:p>
            <w:r>
              <w:rPr>
                <w:rFonts w:ascii="Arial" w:hAnsi="Arial"/>
                <w:sz w:val="20"/>
              </w:rPr>
              <w:t>AgriAdvisoryFulfillmentAttributes.targetRegionRadiusKm</w:t>
            </w:r>
          </w:p>
        </w:tc>
        <w:tc>
          <w:tcPr>
            <w:tcW w:type="dxa" w:w="3118"/>
            <w:shd w:val="clear" w:color="auto" w:fill="EBF3FB"/>
          </w:tcPr>
          <w:p>
            <w:r>
              <w:rPr>
                <w:rFonts w:ascii="Arial" w:hAnsi="Arial"/>
                <w:sz w:val="20"/>
              </w:rPr>
              <w:t>Numeric, km unit (was string in v1)</w:t>
            </w:r>
          </w:p>
        </w:tc>
      </w:tr>
      <w:tr>
        <w:tc>
          <w:tcPr>
            <w:tcW w:type="dxa" w:w="3118"/>
          </w:tcPr>
          <w:p>
            <w:r>
              <w:rPr>
                <w:rFonts w:ascii="Arial" w:hAnsi="Arial"/>
                <w:sz w:val="20"/>
              </w:rPr>
              <w:t>context.timestamp (implicit observation time)</w:t>
            </w:r>
          </w:p>
        </w:tc>
        <w:tc>
          <w:tcPr>
            <w:tcW w:type="dxa" w:w="3685"/>
          </w:tcPr>
          <w:p>
            <w:r>
              <w:rPr>
                <w:rFonts w:ascii="Arial" w:hAnsi="Arial"/>
                <w:sz w:val="20"/>
              </w:rPr>
              <w:t>CommodityPriceItemAttributes.priceObservationPeriod</w:t>
            </w:r>
          </w:p>
        </w:tc>
        <w:tc>
          <w:tcPr>
            <w:tcW w:type="dxa" w:w="3118"/>
          </w:tcPr>
          <w:p>
            <w:r>
              <w:rPr>
                <w:rFonts w:ascii="Arial" w:hAnsi="Arial"/>
                <w:sz w:val="20"/>
              </w:rPr>
              <w:t>Explicit observation period {startDate, endDate}</w:t>
            </w:r>
          </w:p>
        </w:tc>
      </w:tr>
      <w:tr>
        <w:tc>
          <w:tcPr>
            <w:tcW w:type="dxa" w:w="3118"/>
            <w:shd w:val="clear" w:color="auto" w:fill="EBF3FB"/>
          </w:tcPr>
          <w:p>
            <w:r>
              <w:rPr>
                <w:rFonts w:ascii="Arial" w:hAnsi="Arial"/>
                <w:sz w:val="20"/>
              </w:rPr>
              <w:t>AGMARKNET arrivals data (implicit)</w:t>
            </w:r>
          </w:p>
        </w:tc>
        <w:tc>
          <w:tcPr>
            <w:tcW w:type="dxa" w:w="3685"/>
            <w:shd w:val="clear" w:color="auto" w:fill="EBF3FB"/>
          </w:tcPr>
          <w:p>
            <w:r>
              <w:rPr>
                <w:rFonts w:ascii="Arial" w:hAnsi="Arial"/>
                <w:sz w:val="20"/>
              </w:rPr>
              <w:t>CommodityMarketOfferAttributes.arrivals</w:t>
            </w:r>
          </w:p>
        </w:tc>
        <w:tc>
          <w:tcPr>
            <w:tcW w:type="dxa" w:w="3118"/>
            <w:shd w:val="clear" w:color="auto" w:fill="EBF3FB"/>
          </w:tcPr>
          <w:p>
            <w:r>
              <w:rPr>
                <w:rFonts w:ascii="Arial" w:hAnsi="Arial"/>
                <w:sz w:val="20"/>
              </w:rPr>
              <w:t>New first-class field in v2</w:t>
            </w:r>
          </w:p>
        </w:tc>
      </w:tr>
    </w:tbl>
    <w:p/>
    <w:p>
      <w:pPr>
        <w:pStyle w:val="Heading3"/>
      </w:pPr>
      <w:r>
        <w:t>UC3 — Weather Forecast Data</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1F5C99"/>
          </w:tcPr>
          <w:p>
            <w:pPr>
              <w:jc w:val="center"/>
            </w:pPr>
            <w:r>
              <w:rPr>
                <w:rFonts w:ascii="Arial" w:hAnsi="Arial"/>
                <w:b/>
                <w:color w:val="FFFFFF"/>
                <w:sz w:val="20"/>
              </w:rPr>
              <w:t>v1 Field / Tag</w:t>
            </w:r>
          </w:p>
        </w:tc>
        <w:tc>
          <w:tcPr>
            <w:tcW w:type="dxa" w:w="3685"/>
            <w:shd w:val="clear" w:color="auto" w:fill="1F5C99"/>
          </w:tcPr>
          <w:p>
            <w:pPr>
              <w:jc w:val="center"/>
            </w:pPr>
            <w:r>
              <w:rPr>
                <w:rFonts w:ascii="Arial" w:hAnsi="Arial"/>
                <w:b/>
                <w:color w:val="FFFFFF"/>
                <w:sz w:val="20"/>
              </w:rPr>
              <w:t>v2 Location</w:t>
            </w:r>
          </w:p>
        </w:tc>
        <w:tc>
          <w:tcPr>
            <w:tcW w:type="dxa" w:w="3118"/>
            <w:shd w:val="clear" w:color="auto" w:fill="1F5C99"/>
          </w:tcPr>
          <w:p>
            <w:pPr>
              <w:jc w:val="center"/>
            </w:pPr>
            <w:r>
              <w:rPr>
                <w:rFonts w:ascii="Arial" w:hAnsi="Arial"/>
                <w:b/>
                <w:color w:val="FFFFFF"/>
                <w:sz w:val="20"/>
              </w:rPr>
              <w:t>Notes</w:t>
            </w:r>
          </w:p>
        </w:tc>
      </w:tr>
      <w:tr>
        <w:tc>
          <w:tcPr>
            <w:tcW w:type="dxa" w:w="3118"/>
            <w:shd w:val="clear" w:color="auto" w:fill="EBF3FB"/>
          </w:tcPr>
          <w:p>
            <w:r>
              <w:rPr>
                <w:rFonts w:ascii="Arial" w:hAnsi="Arial"/>
                <w:sz w:val="20"/>
              </w:rPr>
              <w:t>item.descriptor.name (forecast product)</w:t>
            </w:r>
          </w:p>
        </w:tc>
        <w:tc>
          <w:tcPr>
            <w:tcW w:type="dxa" w:w="3685"/>
            <w:shd w:val="clear" w:color="auto" w:fill="EBF3FB"/>
          </w:tcPr>
          <w:p>
            <w:r>
              <w:rPr>
                <w:rFonts w:ascii="Arial" w:hAnsi="Arial"/>
                <w:sz w:val="20"/>
              </w:rPr>
              <w:t>item.descriptor.name (core) + WeatherForecastItemAttributes.forecastType</w:t>
            </w:r>
          </w:p>
        </w:tc>
        <w:tc>
          <w:tcPr>
            <w:tcW w:type="dxa" w:w="3118"/>
            <w:shd w:val="clear" w:color="auto" w:fill="EBF3FB"/>
          </w:tcPr>
          <w:p>
            <w:r>
              <w:rPr>
                <w:rFonts w:ascii="Arial" w:hAnsi="Arial"/>
                <w:sz w:val="20"/>
              </w:rPr>
            </w:r>
          </w:p>
        </w:tc>
      </w:tr>
      <w:tr>
        <w:tc>
          <w:tcPr>
            <w:tcW w:type="dxa" w:w="3118"/>
          </w:tcPr>
          <w:p>
            <w:r>
              <w:rPr>
                <w:rFonts w:ascii="Arial" w:hAnsi="Arial"/>
                <w:sz w:val="20"/>
              </w:rPr>
              <w:t>item.tags[forecast-type]</w:t>
            </w:r>
          </w:p>
        </w:tc>
        <w:tc>
          <w:tcPr>
            <w:tcW w:type="dxa" w:w="3685"/>
          </w:tcPr>
          <w:p>
            <w:r>
              <w:rPr>
                <w:rFonts w:ascii="Arial" w:hAnsi="Arial"/>
                <w:sz w:val="20"/>
              </w:rPr>
              <w:t>WeatherForecastItemAttributes.forecastType (enum)</w:t>
            </w:r>
          </w:p>
        </w:tc>
        <w:tc>
          <w:tcPr>
            <w:tcW w:type="dxa" w:w="3118"/>
          </w:tcPr>
          <w:p>
            <w:r>
              <w:rPr>
                <w:rFonts w:ascii="Arial" w:hAnsi="Arial"/>
                <w:sz w:val="20"/>
              </w:rPr>
              <w:t>Typed enum</w:t>
            </w:r>
          </w:p>
        </w:tc>
      </w:tr>
      <w:tr>
        <w:tc>
          <w:tcPr>
            <w:tcW w:type="dxa" w:w="3118"/>
            <w:shd w:val="clear" w:color="auto" w:fill="EBF3FB"/>
          </w:tcPr>
          <w:p>
            <w:r>
              <w:rPr>
                <w:rFonts w:ascii="Arial" w:hAnsi="Arial"/>
                <w:sz w:val="20"/>
              </w:rPr>
              <w:t>item.tags[forecast-duration]</w:t>
            </w:r>
          </w:p>
        </w:tc>
        <w:tc>
          <w:tcPr>
            <w:tcW w:type="dxa" w:w="3685"/>
            <w:shd w:val="clear" w:color="auto" w:fill="EBF3FB"/>
          </w:tcPr>
          <w:p>
            <w:r>
              <w:rPr>
                <w:rFonts w:ascii="Arial" w:hAnsi="Arial"/>
                <w:sz w:val="20"/>
              </w:rPr>
              <w:t>WeatherForecastItemAttributes.forecastDurationDays + .forecastDurationISO</w:t>
            </w:r>
          </w:p>
        </w:tc>
        <w:tc>
          <w:tcPr>
            <w:tcW w:type="dxa" w:w="3118"/>
            <w:shd w:val="clear" w:color="auto" w:fill="EBF3FB"/>
          </w:tcPr>
          <w:p>
            <w:r>
              <w:rPr>
                <w:rFonts w:ascii="Arial" w:hAnsi="Arial"/>
                <w:sz w:val="20"/>
              </w:rPr>
              <w:t>Both numeric (days) and ISO 8601 duration</w:t>
            </w:r>
          </w:p>
        </w:tc>
      </w:tr>
      <w:tr>
        <w:tc>
          <w:tcPr>
            <w:tcW w:type="dxa" w:w="3118"/>
          </w:tcPr>
          <w:p>
            <w:r>
              <w:rPr>
                <w:rFonts w:ascii="Arial" w:hAnsi="Arial"/>
                <w:sz w:val="20"/>
              </w:rPr>
              <w:t>item.tags[data-points]</w:t>
            </w:r>
          </w:p>
        </w:tc>
        <w:tc>
          <w:tcPr>
            <w:tcW w:type="dxa" w:w="3685"/>
          </w:tcPr>
          <w:p>
            <w:r>
              <w:rPr>
                <w:rFonts w:ascii="Arial" w:hAnsi="Arial"/>
                <w:sz w:val="20"/>
              </w:rPr>
              <w:t>WeatherForecastItemAttributes.weatherDataPoints (array)</w:t>
            </w:r>
          </w:p>
        </w:tc>
        <w:tc>
          <w:tcPr>
            <w:tcW w:type="dxa" w:w="3118"/>
          </w:tcPr>
          <w:p>
            <w:r>
              <w:rPr>
                <w:rFonts w:ascii="Arial" w:hAnsi="Arial"/>
                <w:sz w:val="20"/>
              </w:rPr>
              <w:t>Strongly-typed enum array of 17 parameters</w:t>
            </w:r>
          </w:p>
        </w:tc>
      </w:tr>
      <w:tr>
        <w:tc>
          <w:tcPr>
            <w:tcW w:type="dxa" w:w="3118"/>
            <w:shd w:val="clear" w:color="auto" w:fill="EBF3FB"/>
          </w:tcPr>
          <w:p>
            <w:r>
              <w:rPr>
                <w:rFonts w:ascii="Arial" w:hAnsi="Arial"/>
                <w:sz w:val="20"/>
              </w:rPr>
              <w:t>item.tags[output-formats]</w:t>
            </w:r>
          </w:p>
        </w:tc>
        <w:tc>
          <w:tcPr>
            <w:tcW w:type="dxa" w:w="3685"/>
            <w:shd w:val="clear" w:color="auto" w:fill="EBF3FB"/>
          </w:tcPr>
          <w:p>
            <w:r>
              <w:rPr>
                <w:rFonts w:ascii="Arial" w:hAnsi="Arial"/>
                <w:sz w:val="20"/>
              </w:rPr>
              <w:t>WeatherForecastItemAttributes.outputFormats</w:t>
            </w:r>
          </w:p>
        </w:tc>
        <w:tc>
          <w:tcPr>
            <w:tcW w:type="dxa" w:w="3118"/>
            <w:shd w:val="clear" w:color="auto" w:fill="EBF3FB"/>
          </w:tcPr>
          <w:p>
            <w:r>
              <w:rPr>
                <w:rFonts w:ascii="Arial" w:hAnsi="Arial"/>
                <w:sz w:val="20"/>
              </w:rPr>
              <w:t>Typed enum array</w:t>
            </w:r>
          </w:p>
        </w:tc>
      </w:tr>
      <w:tr>
        <w:tc>
          <w:tcPr>
            <w:tcW w:type="dxa" w:w="3118"/>
          </w:tcPr>
          <w:p>
            <w:r>
              <w:rPr>
                <w:rFonts w:ascii="Arial" w:hAnsi="Arial"/>
                <w:sz w:val="20"/>
              </w:rPr>
              <w:t>item.price.value</w:t>
            </w:r>
          </w:p>
        </w:tc>
        <w:tc>
          <w:tcPr>
            <w:tcW w:type="dxa" w:w="3685"/>
          </w:tcPr>
          <w:p>
            <w:r>
              <w:rPr>
                <w:rFonts w:ascii="Arial" w:hAnsi="Arial"/>
                <w:sz w:val="20"/>
              </w:rPr>
              <w:t>core beckn:price (PriceSpecification)</w:t>
            </w:r>
          </w:p>
        </w:tc>
        <w:tc>
          <w:tcPr>
            <w:tcW w:type="dxa" w:w="3118"/>
          </w:tcPr>
          <w:p>
            <w:r>
              <w:rPr>
                <w:rFonts w:ascii="Arial" w:hAnsi="Arial"/>
                <w:sz w:val="20"/>
              </w:rPr>
              <w:t>Unchanged</w:t>
            </w:r>
          </w:p>
        </w:tc>
      </w:tr>
      <w:tr>
        <w:tc>
          <w:tcPr>
            <w:tcW w:type="dxa" w:w="3118"/>
            <w:shd w:val="clear" w:color="auto" w:fill="EBF3FB"/>
          </w:tcPr>
          <w:p>
            <w:r>
              <w:rPr>
                <w:rFonts w:ascii="Arial" w:hAnsi="Arial"/>
                <w:sz w:val="20"/>
              </w:rPr>
              <w:t>fulfillment.stops[0].location.gps</w:t>
            </w:r>
          </w:p>
        </w:tc>
        <w:tc>
          <w:tcPr>
            <w:tcW w:type="dxa" w:w="3685"/>
            <w:shd w:val="clear" w:color="auto" w:fill="EBF3FB"/>
          </w:tcPr>
          <w:p>
            <w:r>
              <w:rPr>
                <w:rFonts w:ascii="Arial" w:hAnsi="Arial"/>
                <w:sz w:val="20"/>
              </w:rPr>
              <w:t>AgriAdvisoryFulfillmentAttributes.targetLocation (GeoJSON Point)</w:t>
            </w:r>
          </w:p>
        </w:tc>
        <w:tc>
          <w:tcPr>
            <w:tcW w:type="dxa" w:w="3118"/>
            <w:shd w:val="clear" w:color="auto" w:fill="EBF3FB"/>
          </w:tcPr>
          <w:p>
            <w:r>
              <w:rPr>
                <w:rFonts w:ascii="Arial" w:hAnsi="Arial"/>
                <w:sz w:val="20"/>
              </w:rPr>
            </w:r>
          </w:p>
        </w:tc>
      </w:tr>
      <w:tr>
        <w:tc>
          <w:tcPr>
            <w:tcW w:type="dxa" w:w="3118"/>
          </w:tcPr>
          <w:p>
            <w:r>
              <w:rPr>
                <w:rFonts w:ascii="Arial" w:hAnsi="Arial"/>
                <w:sz w:val="20"/>
              </w:rPr>
              <w:t>fulfillment.type = "HOME_DELIVERY"</w:t>
            </w:r>
          </w:p>
        </w:tc>
        <w:tc>
          <w:tcPr>
            <w:tcW w:type="dxa" w:w="3685"/>
          </w:tcPr>
          <w:p>
            <w:r>
              <w:rPr>
                <w:rFonts w:ascii="Arial" w:hAnsi="Arial"/>
                <w:sz w:val="20"/>
              </w:rPr>
              <w:t>fulfillment.mode = "DIGITAL"</w:t>
            </w:r>
          </w:p>
        </w:tc>
        <w:tc>
          <w:tcPr>
            <w:tcW w:type="dxa" w:w="3118"/>
          </w:tcPr>
          <w:p>
            <w:r>
              <w:rPr>
                <w:rFonts w:ascii="Arial" w:hAnsi="Arial"/>
                <w:sz w:val="20"/>
              </w:rPr>
            </w:r>
          </w:p>
        </w:tc>
      </w:tr>
      <w:tr>
        <w:tc>
          <w:tcPr>
            <w:tcW w:type="dxa" w:w="3118"/>
            <w:shd w:val="clear" w:color="auto" w:fill="EBF3FB"/>
          </w:tcPr>
          <w:p>
            <w:r>
              <w:rPr>
                <w:rFonts w:ascii="Arial" w:hAnsi="Arial"/>
                <w:sz w:val="20"/>
              </w:rPr>
              <w:t>order.cancellation_terms</w:t>
            </w:r>
          </w:p>
        </w:tc>
        <w:tc>
          <w:tcPr>
            <w:tcW w:type="dxa" w:w="3685"/>
            <w:shd w:val="clear" w:color="auto" w:fill="EBF3FB"/>
          </w:tcPr>
          <w:p>
            <w:r>
              <w:rPr>
                <w:rFonts w:ascii="Arial" w:hAnsi="Arial"/>
                <w:sz w:val="20"/>
              </w:rPr>
              <w:t>AgriAdvisoryOfferAttributes.cancellationPolicy</w:t>
            </w:r>
          </w:p>
        </w:tc>
        <w:tc>
          <w:tcPr>
            <w:tcW w:type="dxa" w:w="3118"/>
            <w:shd w:val="clear" w:color="auto" w:fill="EBF3FB"/>
          </w:tcPr>
          <w:p>
            <w:r>
              <w:rPr>
                <w:rFonts w:ascii="Arial" w:hAnsi="Arial"/>
                <w:sz w:val="20"/>
              </w:rPr>
              <w:t>Structured sub-schema</w:t>
            </w:r>
          </w:p>
        </w:tc>
      </w:tr>
      <w:tr>
        <w:tc>
          <w:tcPr>
            <w:tcW w:type="dxa" w:w="3118"/>
          </w:tcPr>
          <w:p>
            <w:r>
              <w:rPr>
                <w:rFonts w:ascii="Arial" w:hAnsi="Arial"/>
                <w:sz w:val="20"/>
              </w:rPr>
              <w:t>on_status fulfillment URL (ad hoc)</w:t>
            </w:r>
          </w:p>
        </w:tc>
        <w:tc>
          <w:tcPr>
            <w:tcW w:type="dxa" w:w="3685"/>
          </w:tcPr>
          <w:p>
            <w:r>
              <w:rPr>
                <w:rFonts w:ascii="Arial" w:hAnsi="Arial"/>
                <w:sz w:val="20"/>
              </w:rPr>
              <w:t>AgriAdvisoryFulfillmentAttributes.contentAccessUrl + contentAccessExpiry</w:t>
            </w:r>
          </w:p>
        </w:tc>
        <w:tc>
          <w:tcPr>
            <w:tcW w:type="dxa" w:w="3118"/>
          </w:tcPr>
          <w:p>
            <w:r>
              <w:rPr>
                <w:rFonts w:ascii="Arial" w:hAnsi="Arial"/>
                <w:sz w:val="20"/>
              </w:rPr>
              <w:t>Typed fields in extension schema</w:t>
            </w:r>
          </w:p>
        </w:tc>
      </w:tr>
      <w:tr>
        <w:tc>
          <w:tcPr>
            <w:tcW w:type="dxa" w:w="3118"/>
            <w:shd w:val="clear" w:color="auto" w:fill="EBF3FB"/>
          </w:tcPr>
          <w:p>
            <w:r>
              <w:rPr>
                <w:rFonts w:ascii="Arial" w:hAnsi="Arial"/>
                <w:sz w:val="20"/>
              </w:rPr>
              <w:t>on_cancel refund logic</w:t>
            </w:r>
          </w:p>
        </w:tc>
        <w:tc>
          <w:tcPr>
            <w:tcW w:type="dxa" w:w="3685"/>
            <w:shd w:val="clear" w:color="auto" w:fill="EBF3FB"/>
          </w:tcPr>
          <w:p>
            <w:r>
              <w:rPr>
                <w:rFonts w:ascii="Arial" w:hAnsi="Arial"/>
                <w:sz w:val="20"/>
              </w:rPr>
              <w:t>AgriAdvisoryOfferAttributes.cancellationPolicy.refundPercentage</w:t>
            </w:r>
          </w:p>
        </w:tc>
        <w:tc>
          <w:tcPr>
            <w:tcW w:type="dxa" w:w="3118"/>
            <w:shd w:val="clear" w:color="auto" w:fill="EBF3FB"/>
          </w:tcPr>
          <w:p>
            <w:r>
              <w:rPr>
                <w:rFonts w:ascii="Arial" w:hAnsi="Arial"/>
                <w:sz w:val="20"/>
              </w:rPr>
              <w:t>Explicit refund percentage in Offer schema</w:t>
            </w:r>
          </w:p>
        </w:tc>
      </w:tr>
    </w:tbl>
    <w:p/>
    <w:p>
      <w:r>
        <w:br w:type="page"/>
      </w:r>
    </w:p>
    <w:p>
      <w:pPr>
        <w:pStyle w:val="Heading1"/>
      </w:pPr>
      <w:r>
        <w:t>11. Schema Definitions</w:t>
      </w:r>
    </w:p>
    <w:p>
      <w:r>
        <w:rPr>
          <w:rFonts w:ascii="Arial" w:hAnsi="Arial"/>
          <w:b w:val="0"/>
          <w:i w:val="0"/>
          <w:sz w:val="22"/>
        </w:rPr>
        <w:t>All six extension schemas are available in OpenAPI 3.1 format (attributes.yaml), JSON-LD context files (context.jsonld), and vocabulary files (vocab.jsonld) in the agri-advisory/ schema pack. The table below provides a navigation reference. In addition, the pack includes a shared type definition at agri-common/CodedValue/attributes.yaml — referenced via $ref by WeatherForecastItemAttributes and AgriAdvisoryFulfillmentAttributes for typed external code values (see §13.2).</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3118"/>
            <w:shd w:val="clear" w:color="auto" w:fill="1F5C99"/>
          </w:tcPr>
          <w:p>
            <w:pPr>
              <w:jc w:val="center"/>
            </w:pPr>
            <w:r>
              <w:rPr>
                <w:rFonts w:ascii="Arial" w:hAnsi="Arial"/>
                <w:b/>
                <w:color w:val="FFFFFF"/>
                <w:sz w:val="20"/>
              </w:rPr>
              <w:t>Schema</w:t>
            </w:r>
          </w:p>
        </w:tc>
        <w:tc>
          <w:tcPr>
            <w:tcW w:type="dxa" w:w="3118"/>
            <w:shd w:val="clear" w:color="auto" w:fill="1F5C99"/>
          </w:tcPr>
          <w:p>
            <w:pPr>
              <w:jc w:val="center"/>
            </w:pPr>
            <w:r>
              <w:rPr>
                <w:rFonts w:ascii="Arial" w:hAnsi="Arial"/>
                <w:b/>
                <w:color w:val="FFFFFF"/>
                <w:sz w:val="20"/>
              </w:rPr>
              <w:t>File Path</w:t>
            </w:r>
          </w:p>
        </w:tc>
        <w:tc>
          <w:tcPr>
            <w:tcW w:type="dxa" w:w="1417"/>
            <w:shd w:val="clear" w:color="auto" w:fill="1F5C99"/>
          </w:tcPr>
          <w:p>
            <w:pPr>
              <w:jc w:val="center"/>
            </w:pPr>
            <w:r>
              <w:rPr>
                <w:rFonts w:ascii="Arial" w:hAnsi="Arial"/>
                <w:b/>
                <w:color w:val="FFFFFF"/>
                <w:sz w:val="20"/>
              </w:rPr>
              <w:t>Namespace</w:t>
            </w:r>
          </w:p>
        </w:tc>
        <w:tc>
          <w:tcPr>
            <w:tcW w:type="dxa" w:w="1984"/>
            <w:shd w:val="clear" w:color="auto" w:fill="1F5C99"/>
          </w:tcPr>
          <w:p>
            <w:pPr>
              <w:jc w:val="center"/>
            </w:pPr>
            <w:r>
              <w:rPr>
                <w:rFonts w:ascii="Arial" w:hAnsi="Arial"/>
                <w:b/>
                <w:color w:val="FFFFFF"/>
                <w:sz w:val="20"/>
              </w:rPr>
              <w:t>Container</w:t>
            </w:r>
          </w:p>
        </w:tc>
        <w:tc>
          <w:tcPr>
            <w:tcW w:type="dxa" w:w="2835"/>
            <w:shd w:val="clear" w:color="auto" w:fill="1F5C99"/>
          </w:tcPr>
          <w:p>
            <w:pPr>
              <w:jc w:val="center"/>
            </w:pPr>
            <w:r>
              <w:rPr>
                <w:rFonts w:ascii="Arial" w:hAnsi="Arial"/>
                <w:b/>
                <w:color w:val="FFFFFF"/>
                <w:sz w:val="20"/>
              </w:rPr>
              <w:t>Required Fields</w:t>
            </w:r>
          </w:p>
        </w:tc>
      </w:tr>
      <w:tr>
        <w:tc>
          <w:tcPr>
            <w:tcW w:type="dxa" w:w="3118"/>
            <w:shd w:val="clear" w:color="auto" w:fill="EBF3FB"/>
          </w:tcPr>
          <w:p>
            <w:r>
              <w:rPr>
                <w:rFonts w:ascii="Arial" w:hAnsi="Arial"/>
                <w:sz w:val="20"/>
              </w:rPr>
              <w:t>CropAdvisoryItemAttributes</w:t>
            </w:r>
          </w:p>
        </w:tc>
        <w:tc>
          <w:tcPr>
            <w:tcW w:type="dxa" w:w="3118"/>
            <w:shd w:val="clear" w:color="auto" w:fill="EBF3FB"/>
          </w:tcPr>
          <w:p>
            <w:r>
              <w:rPr>
                <w:rFonts w:ascii="Arial" w:hAnsi="Arial"/>
                <w:sz w:val="20"/>
              </w:rPr>
              <w:t>CropAdvisoryItemAttributes/attributes.yaml</w:t>
            </w:r>
          </w:p>
        </w:tc>
        <w:tc>
          <w:tcPr>
            <w:tcW w:type="dxa" w:w="1417"/>
            <w:shd w:val="clear" w:color="auto" w:fill="EBF3FB"/>
          </w:tcPr>
          <w:p>
            <w:r>
              <w:rPr>
                <w:rFonts w:ascii="Arial" w:hAnsi="Arial"/>
                <w:sz w:val="20"/>
              </w:rPr>
              <w:t>caia:</w:t>
            </w:r>
          </w:p>
        </w:tc>
        <w:tc>
          <w:tcPr>
            <w:tcW w:type="dxa" w:w="1984"/>
            <w:shd w:val="clear" w:color="auto" w:fill="EBF3FB"/>
          </w:tcPr>
          <w:p>
            <w:r>
              <w:rPr>
                <w:rFonts w:ascii="Arial" w:hAnsi="Arial"/>
                <w:sz w:val="20"/>
              </w:rPr>
              <w:t>itemAttributes</w:t>
            </w:r>
          </w:p>
        </w:tc>
        <w:tc>
          <w:tcPr>
            <w:tcW w:type="dxa" w:w="2835"/>
            <w:shd w:val="clear" w:color="auto" w:fill="EBF3FB"/>
          </w:tcPr>
          <w:p>
            <w:r>
              <w:rPr>
                <w:rFonts w:ascii="Arial" w:hAnsi="Arial"/>
                <w:sz w:val="20"/>
              </w:rPr>
              <w:t>advisoryCategory, contentType</w:t>
            </w:r>
          </w:p>
        </w:tc>
      </w:tr>
      <w:tr>
        <w:tc>
          <w:tcPr>
            <w:tcW w:type="dxa" w:w="3118"/>
          </w:tcPr>
          <w:p>
            <w:r>
              <w:rPr>
                <w:rFonts w:ascii="Arial" w:hAnsi="Arial"/>
                <w:sz w:val="20"/>
              </w:rPr>
              <w:t>CommodityPriceItemAttributes</w:t>
            </w:r>
          </w:p>
        </w:tc>
        <w:tc>
          <w:tcPr>
            <w:tcW w:type="dxa" w:w="3118"/>
          </w:tcPr>
          <w:p>
            <w:r>
              <w:rPr>
                <w:rFonts w:ascii="Arial" w:hAnsi="Arial"/>
                <w:sz w:val="20"/>
              </w:rPr>
              <w:t>CommodityPriceItemAttributes/attributes.yaml</w:t>
            </w:r>
          </w:p>
        </w:tc>
        <w:tc>
          <w:tcPr>
            <w:tcW w:type="dxa" w:w="1417"/>
          </w:tcPr>
          <w:p>
            <w:r>
              <w:rPr>
                <w:rFonts w:ascii="Arial" w:hAnsi="Arial"/>
                <w:sz w:val="20"/>
              </w:rPr>
              <w:t>cpia:</w:t>
            </w:r>
          </w:p>
        </w:tc>
        <w:tc>
          <w:tcPr>
            <w:tcW w:type="dxa" w:w="1984"/>
          </w:tcPr>
          <w:p>
            <w:r>
              <w:rPr>
                <w:rFonts w:ascii="Arial" w:hAnsi="Arial"/>
                <w:sz w:val="20"/>
              </w:rPr>
              <w:t>itemAttributes</w:t>
            </w:r>
          </w:p>
        </w:tc>
        <w:tc>
          <w:tcPr>
            <w:tcW w:type="dxa" w:w="2835"/>
          </w:tcPr>
          <w:p>
            <w:r>
              <w:rPr>
                <w:rFonts w:ascii="Arial" w:hAnsi="Arial"/>
                <w:sz w:val="20"/>
              </w:rPr>
              <w:t>commodityName</w:t>
            </w:r>
          </w:p>
        </w:tc>
      </w:tr>
      <w:tr>
        <w:tc>
          <w:tcPr>
            <w:tcW w:type="dxa" w:w="3118"/>
            <w:shd w:val="clear" w:color="auto" w:fill="EBF3FB"/>
          </w:tcPr>
          <w:p>
            <w:r>
              <w:rPr>
                <w:rFonts w:ascii="Arial" w:hAnsi="Arial"/>
                <w:sz w:val="20"/>
              </w:rPr>
              <w:t>WeatherForecastItemAttributes</w:t>
            </w:r>
          </w:p>
        </w:tc>
        <w:tc>
          <w:tcPr>
            <w:tcW w:type="dxa" w:w="3118"/>
            <w:shd w:val="clear" w:color="auto" w:fill="EBF3FB"/>
          </w:tcPr>
          <w:p>
            <w:r>
              <w:rPr>
                <w:rFonts w:ascii="Arial" w:hAnsi="Arial"/>
                <w:sz w:val="20"/>
              </w:rPr>
              <w:t>WeatherForecastItemAttributes/attributes.yaml</w:t>
            </w:r>
          </w:p>
        </w:tc>
        <w:tc>
          <w:tcPr>
            <w:tcW w:type="dxa" w:w="1417"/>
            <w:shd w:val="clear" w:color="auto" w:fill="EBF3FB"/>
          </w:tcPr>
          <w:p>
            <w:r>
              <w:rPr>
                <w:rFonts w:ascii="Arial" w:hAnsi="Arial"/>
                <w:sz w:val="20"/>
              </w:rPr>
              <w:t>wfia:</w:t>
            </w:r>
          </w:p>
        </w:tc>
        <w:tc>
          <w:tcPr>
            <w:tcW w:type="dxa" w:w="1984"/>
            <w:shd w:val="clear" w:color="auto" w:fill="EBF3FB"/>
          </w:tcPr>
          <w:p>
            <w:r>
              <w:rPr>
                <w:rFonts w:ascii="Arial" w:hAnsi="Arial"/>
                <w:sz w:val="20"/>
              </w:rPr>
              <w:t>itemAttributes</w:t>
            </w:r>
          </w:p>
        </w:tc>
        <w:tc>
          <w:tcPr>
            <w:tcW w:type="dxa" w:w="2835"/>
            <w:shd w:val="clear" w:color="auto" w:fill="EBF3FB"/>
          </w:tcPr>
          <w:p>
            <w:r>
              <w:rPr>
                <w:rFonts w:ascii="Arial" w:hAnsi="Arial"/>
                <w:sz w:val="20"/>
              </w:rPr>
              <w:t>forecastType, forecastDurationDays</w:t>
            </w:r>
          </w:p>
        </w:tc>
      </w:tr>
      <w:tr>
        <w:tc>
          <w:tcPr>
            <w:tcW w:type="dxa" w:w="3118"/>
          </w:tcPr>
          <w:p>
            <w:r>
              <w:rPr>
                <w:rFonts w:ascii="Arial" w:hAnsi="Arial"/>
                <w:sz w:val="20"/>
              </w:rPr>
              <w:t>AgriAdvisoryOfferAttributes</w:t>
            </w:r>
          </w:p>
        </w:tc>
        <w:tc>
          <w:tcPr>
            <w:tcW w:type="dxa" w:w="3118"/>
          </w:tcPr>
          <w:p>
            <w:r>
              <w:rPr>
                <w:rFonts w:ascii="Arial" w:hAnsi="Arial"/>
                <w:sz w:val="20"/>
              </w:rPr>
              <w:t>AgriAdvisoryOfferAttributes/attributes.yaml</w:t>
            </w:r>
          </w:p>
        </w:tc>
        <w:tc>
          <w:tcPr>
            <w:tcW w:type="dxa" w:w="1417"/>
          </w:tcPr>
          <w:p>
            <w:r>
              <w:rPr>
                <w:rFonts w:ascii="Arial" w:hAnsi="Arial"/>
                <w:sz w:val="20"/>
              </w:rPr>
              <w:t>aaoa:</w:t>
            </w:r>
          </w:p>
        </w:tc>
        <w:tc>
          <w:tcPr>
            <w:tcW w:type="dxa" w:w="1984"/>
          </w:tcPr>
          <w:p>
            <w:r>
              <w:rPr>
                <w:rFonts w:ascii="Arial" w:hAnsi="Arial"/>
                <w:sz w:val="20"/>
              </w:rPr>
              <w:t>offerAttributes</w:t>
            </w:r>
          </w:p>
        </w:tc>
        <w:tc>
          <w:tcPr>
            <w:tcW w:type="dxa" w:w="2835"/>
          </w:tcPr>
          <w:p>
            <w:r>
              <w:rPr>
                <w:rFonts w:ascii="Arial" w:hAnsi="Arial"/>
                <w:sz w:val="20"/>
              </w:rPr>
              <w:t>pricingModel, accessType</w:t>
            </w:r>
          </w:p>
        </w:tc>
      </w:tr>
      <w:tr>
        <w:tc>
          <w:tcPr>
            <w:tcW w:type="dxa" w:w="3118"/>
            <w:shd w:val="clear" w:color="auto" w:fill="EBF3FB"/>
          </w:tcPr>
          <w:p>
            <w:r>
              <w:rPr>
                <w:rFonts w:ascii="Arial" w:hAnsi="Arial"/>
                <w:sz w:val="20"/>
              </w:rPr>
              <w:t>CommodityMarketOfferAttributes</w:t>
            </w:r>
          </w:p>
        </w:tc>
        <w:tc>
          <w:tcPr>
            <w:tcW w:type="dxa" w:w="3118"/>
            <w:shd w:val="clear" w:color="auto" w:fill="EBF3FB"/>
          </w:tcPr>
          <w:p>
            <w:r>
              <w:rPr>
                <w:rFonts w:ascii="Arial" w:hAnsi="Arial"/>
                <w:sz w:val="20"/>
              </w:rPr>
              <w:t>CommodityMarketOfferAttributes/attributes.yaml</w:t>
            </w:r>
          </w:p>
        </w:tc>
        <w:tc>
          <w:tcPr>
            <w:tcW w:type="dxa" w:w="1417"/>
            <w:shd w:val="clear" w:color="auto" w:fill="EBF3FB"/>
          </w:tcPr>
          <w:p>
            <w:r>
              <w:rPr>
                <w:rFonts w:ascii="Arial" w:hAnsi="Arial"/>
                <w:sz w:val="20"/>
              </w:rPr>
              <w:t>cmoa:</w:t>
            </w:r>
          </w:p>
        </w:tc>
        <w:tc>
          <w:tcPr>
            <w:tcW w:type="dxa" w:w="1984"/>
            <w:shd w:val="clear" w:color="auto" w:fill="EBF3FB"/>
          </w:tcPr>
          <w:p>
            <w:r>
              <w:rPr>
                <w:rFonts w:ascii="Arial" w:hAnsi="Arial"/>
                <w:sz w:val="20"/>
              </w:rPr>
              <w:t>offerAttributes</w:t>
            </w:r>
          </w:p>
        </w:tc>
        <w:tc>
          <w:tcPr>
            <w:tcW w:type="dxa" w:w="2835"/>
            <w:shd w:val="clear" w:color="auto" w:fill="EBF3FB"/>
          </w:tcPr>
          <w:p>
            <w:r>
              <w:rPr>
                <w:rFonts w:ascii="Arial" w:hAnsi="Arial"/>
                <w:sz w:val="20"/>
              </w:rPr>
              <w:t>averagePrice, currency</w:t>
            </w:r>
          </w:p>
        </w:tc>
      </w:tr>
      <w:tr>
        <w:tc>
          <w:tcPr>
            <w:tcW w:type="dxa" w:w="3118"/>
          </w:tcPr>
          <w:p>
            <w:r>
              <w:rPr>
                <w:rFonts w:ascii="Arial" w:hAnsi="Arial"/>
                <w:sz w:val="20"/>
              </w:rPr>
              <w:t>AgriAdvisoryFulfillmentAttributes</w:t>
            </w:r>
          </w:p>
        </w:tc>
        <w:tc>
          <w:tcPr>
            <w:tcW w:type="dxa" w:w="3118"/>
          </w:tcPr>
          <w:p>
            <w:r>
              <w:rPr>
                <w:rFonts w:ascii="Arial" w:hAnsi="Arial"/>
                <w:sz w:val="20"/>
              </w:rPr>
              <w:t>AgriAdvisoryFulfillmentAttributes/attributes.yaml</w:t>
            </w:r>
          </w:p>
        </w:tc>
        <w:tc>
          <w:tcPr>
            <w:tcW w:type="dxa" w:w="1417"/>
          </w:tcPr>
          <w:p>
            <w:r>
              <w:rPr>
                <w:rFonts w:ascii="Arial" w:hAnsi="Arial"/>
                <w:sz w:val="20"/>
              </w:rPr>
              <w:t>aafa:</w:t>
            </w:r>
          </w:p>
        </w:tc>
        <w:tc>
          <w:tcPr>
            <w:tcW w:type="dxa" w:w="1984"/>
          </w:tcPr>
          <w:p>
            <w:r>
              <w:rPr>
                <w:rFonts w:ascii="Arial" w:hAnsi="Arial"/>
                <w:sz w:val="20"/>
              </w:rPr>
              <w:t>fulfillmentAttributes</w:t>
            </w:r>
          </w:p>
        </w:tc>
        <w:tc>
          <w:tcPr>
            <w:tcW w:type="dxa" w:w="2835"/>
          </w:tcPr>
          <w:p>
            <w:r>
              <w:rPr>
                <w:rFonts w:ascii="Arial" w:hAnsi="Arial"/>
                <w:sz w:val="20"/>
              </w:rPr>
              <w:t>deliveryMode</w:t>
            </w:r>
          </w:p>
        </w:tc>
      </w:tr>
    </w:tbl>
    <w:p/>
    <w:p>
      <w:r>
        <w:rPr>
          <w:rFonts w:ascii="Arial" w:hAnsi="Arial"/>
          <w:b w:val="0"/>
          <w:i w:val="0"/>
          <w:sz w:val="22"/>
        </w:rPr>
        <w:t>Each schema directory also contains:</w:t>
      </w:r>
    </w:p>
    <w:p>
      <w:pPr>
        <w:pStyle w:val="ListBullet"/>
        <w:ind w:left="360"/>
      </w:pPr>
      <w:r>
        <w:rPr>
          <w:rFonts w:ascii="Arial" w:hAnsi="Arial"/>
          <w:sz w:val="22"/>
        </w:rPr>
        <w:t>README.md — overview, tags, container declaration, and example field listing</w:t>
      </w:r>
    </w:p>
    <w:p>
      <w:pPr>
        <w:pStyle w:val="ListBullet"/>
        <w:ind w:left="360"/>
      </w:pPr>
      <w:r>
        <w:rPr>
          <w:rFonts w:ascii="Arial" w:hAnsi="Arial"/>
          <w:sz w:val="22"/>
        </w:rPr>
        <w:t>vocab.jsonld — RDFS vocabulary definitions for all classes and properties</w:t>
      </w:r>
    </w:p>
    <w:p>
      <w:pPr>
        <w:pStyle w:val="ListBullet"/>
        <w:ind w:left="360"/>
      </w:pPr>
      <w:r>
        <w:rPr>
          <w:rFonts w:ascii="Arial" w:hAnsi="Arial"/>
          <w:sz w:val="22"/>
        </w:rPr>
        <w:t>context.jsonld — JSON-LD context mapping properties to semantic IRIs</w:t>
      </w:r>
    </w:p>
    <w:p>
      <w:pPr>
        <w:pStyle w:val="ListBullet"/>
        <w:ind w:left="360"/>
      </w:pPr>
      <w:r>
        <w:rPr>
          <w:rFonts w:ascii="Arial" w:hAnsi="Arial"/>
          <w:sz w:val="22"/>
        </w:rPr>
        <w:t>examples/ — Beckn v2 message payload examples for validation</w:t>
      </w:r>
    </w:p>
    <w:p>
      <w:r>
        <w:br w:type="page"/>
      </w:r>
    </w:p>
    <w:p>
      <w:pPr>
        <w:pStyle w:val="Heading1"/>
      </w:pPr>
      <w:r>
        <w:t>12. API Examples</w:t>
      </w:r>
    </w:p>
    <w:p>
      <w:r>
        <w:rPr>
          <w:rFonts w:ascii="Arial" w:hAnsi="Arial"/>
          <w:b w:val="0"/>
          <w:i w:val="0"/>
          <w:sz w:val="22"/>
        </w:rPr>
        <w:t>The following examples show representative Beckn v2 message payloads for each use case. Note that context fields (transaction_id, message_id, timestamp) are shown with placeholder values. The domain is advisory:agri and the discovery action is discover/on_discover in all v2 payloads.</w:t>
      </w:r>
    </w:p>
    <w:p>
      <w:pPr>
        <w:pStyle w:val="Heading2"/>
      </w:pPr>
      <w:r>
        <w:t>12.1 UC1 — Crop Advisory: discover</w:t>
      </w:r>
    </w:p>
    <w:p>
      <w:r>
        <w:rPr>
          <w:rFonts w:ascii="Arial" w:hAnsi="Arial"/>
          <w:b w:val="0"/>
          <w:i w:val="0"/>
          <w:sz w:val="22"/>
        </w:rPr>
        <w:t>Sandip's app sends a DiscoverRequest combining a text_search (NLP query) with a JSONPath filter on the typed extension attribute advisoryCategory. Language filtering is expressed as a JSONPath predicate over the languages array.</w:t>
      </w:r>
    </w:p>
    <w:p>
      <w:pPr>
        <w:shd w:val="clear" w:color="auto" w:fill="F2F2F2"/>
        <w:spacing w:before="0" w:after="0"/>
        <w:ind w:left="432"/>
      </w:pPr>
      <w:r>
        <w:rPr>
          <w:rFonts w:ascii="Courier New" w:hAnsi="Courier New"/>
          <w:sz w:val="18"/>
        </w:rPr>
        <w:t>{</w:t>
      </w:r>
    </w:p>
    <w:p>
      <w:pPr>
        <w:shd w:val="clear" w:color="auto" w:fill="F2F2F2"/>
        <w:spacing w:before="0" w:after="0"/>
        <w:ind w:left="432"/>
      </w:pPr>
      <w:r>
        <w:rPr>
          <w:rFonts w:ascii="Courier New" w:hAnsi="Courier New"/>
          <w:sz w:val="18"/>
        </w:rPr>
        <w:t xml:space="preserve">  "context": {</w:t>
      </w:r>
    </w:p>
    <w:p>
      <w:pPr>
        <w:shd w:val="clear" w:color="auto" w:fill="F2F2F2"/>
        <w:spacing w:before="0" w:after="0"/>
        <w:ind w:left="432"/>
      </w:pPr>
      <w:r>
        <w:rPr>
          <w:rFonts w:ascii="Courier New" w:hAnsi="Courier New"/>
          <w:sz w:val="18"/>
        </w:rPr>
        <w:t xml:space="preserve">    "domain": "advisory:agri",</w:t>
      </w:r>
    </w:p>
    <w:p>
      <w:pPr>
        <w:shd w:val="clear" w:color="auto" w:fill="F2F2F2"/>
        <w:spacing w:before="0" w:after="0"/>
        <w:ind w:left="432"/>
      </w:pPr>
      <w:r>
        <w:rPr>
          <w:rFonts w:ascii="Courier New" w:hAnsi="Courier New"/>
          <w:sz w:val="18"/>
        </w:rPr>
        <w:t xml:space="preserve">    "action": "discover",</w:t>
      </w:r>
    </w:p>
    <w:p>
      <w:pPr>
        <w:shd w:val="clear" w:color="auto" w:fill="F2F2F2"/>
        <w:spacing w:before="0" w:after="0"/>
        <w:ind w:left="432"/>
      </w:pPr>
      <w:r>
        <w:rPr>
          <w:rFonts w:ascii="Courier New" w:hAnsi="Courier New"/>
          <w:sz w:val="18"/>
        </w:rPr>
        <w:t xml:space="preserve">    "version": "2.0.0",</w:t>
      </w:r>
    </w:p>
    <w:p>
      <w:pPr>
        <w:shd w:val="clear" w:color="auto" w:fill="F2F2F2"/>
        <w:spacing w:before="0" w:after="0"/>
        <w:ind w:left="432"/>
      </w:pPr>
      <w:r>
        <w:rPr>
          <w:rFonts w:ascii="Courier New" w:hAnsi="Courier New"/>
          <w:sz w:val="18"/>
        </w:rPr>
        <w:t xml:space="preserve">    "bap_id": "farmer-app.example.io",</w:t>
      </w:r>
    </w:p>
    <w:p>
      <w:pPr>
        <w:shd w:val="clear" w:color="auto" w:fill="F2F2F2"/>
        <w:spacing w:before="0" w:after="0"/>
        <w:ind w:left="432"/>
      </w:pPr>
      <w:r>
        <w:rPr>
          <w:rFonts w:ascii="Courier New" w:hAnsi="Courier New"/>
          <w:sz w:val="18"/>
        </w:rPr>
        <w:t xml:space="preserve">    "bap_uri": "https://farmer-app.example.io",</w:t>
      </w:r>
    </w:p>
    <w:p>
      <w:pPr>
        <w:shd w:val="clear" w:color="auto" w:fill="F2F2F2"/>
        <w:spacing w:before="0" w:after="0"/>
        <w:ind w:left="432"/>
      </w:pPr>
      <w:r>
        <w:rPr>
          <w:rFonts w:ascii="Courier New" w:hAnsi="Courier New"/>
          <w:sz w:val="18"/>
        </w:rPr>
        <w:t xml:space="preserve">    "transaction_id": "txn-uc1-001",</w:t>
      </w:r>
    </w:p>
    <w:p>
      <w:pPr>
        <w:shd w:val="clear" w:color="auto" w:fill="F2F2F2"/>
        <w:spacing w:before="0" w:after="0"/>
        <w:ind w:left="432"/>
      </w:pPr>
      <w:r>
        <w:rPr>
          <w:rFonts w:ascii="Courier New" w:hAnsi="Courier New"/>
          <w:sz w:val="18"/>
        </w:rPr>
        <w:t xml:space="preserve">    "message_id": "msg-uc1-001",</w:t>
      </w:r>
    </w:p>
    <w:p>
      <w:pPr>
        <w:shd w:val="clear" w:color="auto" w:fill="F2F2F2"/>
        <w:spacing w:before="0" w:after="0"/>
        <w:ind w:left="432"/>
      </w:pPr>
      <w:r>
        <w:rPr>
          <w:rFonts w:ascii="Courier New" w:hAnsi="Courier New"/>
          <w:sz w:val="18"/>
        </w:rPr>
        <w:t xml:space="preserve">    "timestamp": "2026-03-10T09:00:00Z",</w:t>
      </w:r>
    </w:p>
    <w:p>
      <w:pPr>
        <w:shd w:val="clear" w:color="auto" w:fill="F2F2F2"/>
        <w:spacing w:before="0" w:after="0"/>
        <w:ind w:left="432"/>
      </w:pPr>
      <w:r>
        <w:rPr>
          <w:rFonts w:ascii="Courier New" w:hAnsi="Courier New"/>
          <w:sz w:val="18"/>
        </w:rPr>
        <w:t xml:space="preserve">    "schema_context": [</w:t>
      </w:r>
    </w:p>
    <w:p>
      <w:pPr>
        <w:shd w:val="clear" w:color="auto" w:fill="F2F2F2"/>
        <w:spacing w:before="0" w:after="0"/>
        <w:ind w:left="432"/>
      </w:pPr>
      <w:r>
        <w:rPr>
          <w:rFonts w:ascii="Courier New" w:hAnsi="Courier New"/>
          <w:sz w:val="18"/>
        </w:rPr>
        <w:t xml:space="preserve">      "https://agri-advisory.becknprotocol.io/schema/v1/context.jsonld"</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"message": {</w:t>
      </w:r>
    </w:p>
    <w:p>
      <w:pPr>
        <w:shd w:val="clear" w:color="auto" w:fill="F2F2F2"/>
        <w:spacing w:before="0" w:after="0"/>
        <w:ind w:left="432"/>
      </w:pPr>
      <w:r>
        <w:rPr>
          <w:rFonts w:ascii="Courier New" w:hAnsi="Courier New"/>
          <w:sz w:val="18"/>
        </w:rPr>
        <w:t xml:space="preserve">    "text_search": "disease advisory for onion crop in Marathi",</w:t>
      </w:r>
    </w:p>
    <w:p>
      <w:pPr>
        <w:shd w:val="clear" w:color="auto" w:fill="F2F2F2"/>
        <w:spacing w:before="0" w:after="0"/>
        <w:ind w:left="432"/>
      </w:pPr>
      <w:r>
        <w:rPr>
          <w:rFonts w:ascii="Courier New" w:hAnsi="Courier New"/>
          <w:sz w:val="18"/>
        </w:rPr>
        <w:t xml:space="preserve">    "filters": {</w:t>
      </w:r>
    </w:p>
    <w:p>
      <w:pPr>
        <w:shd w:val="clear" w:color="auto" w:fill="F2F2F2"/>
        <w:spacing w:before="0" w:after="0"/>
        <w:ind w:left="432"/>
      </w:pPr>
      <w:r>
        <w:rPr>
          <w:rFonts w:ascii="Courier New" w:hAnsi="Courier New"/>
          <w:sz w:val="18"/>
        </w:rPr>
        <w:t xml:space="preserve">      "type": "jsonpath",</w:t>
      </w:r>
    </w:p>
    <w:p>
      <w:pPr>
        <w:shd w:val="clear" w:color="auto" w:fill="F2F2F2"/>
        <w:spacing w:before="0" w:after="0"/>
        <w:ind w:left="432"/>
      </w:pPr>
      <w:r>
        <w:rPr>
          <w:rFonts w:ascii="Courier New" w:hAnsi="Courier New"/>
          <w:sz w:val="18"/>
        </w:rPr>
        <w:t xml:space="preserve">      "expression": "$..[?(@.itemAttributes.advisoryCategory == 'DISEASE_CONTROL' &amp;&amp; 'mr' in @.itemAttributes.languages)]"</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w:t>
      </w:r>
    </w:p>
    <w:p/>
    <w:p>
      <w:pPr>
        <w:pStyle w:val="Heading2"/>
      </w:pPr>
      <w:r>
        <w:t>12.2 UC1 — Crop Advisory: on_discover (free advisory)</w:t>
      </w:r>
    </w:p>
    <w:p>
      <w:pPr>
        <w:shd w:val="clear" w:color="auto" w:fill="F2F2F2"/>
        <w:spacing w:before="0" w:after="0"/>
        <w:ind w:left="432"/>
      </w:pPr>
      <w:r>
        <w:rPr>
          <w:rFonts w:ascii="Courier New" w:hAnsi="Courier New"/>
          <w:sz w:val="18"/>
        </w:rPr>
        <w:t>{</w:t>
      </w:r>
    </w:p>
    <w:p>
      <w:pPr>
        <w:shd w:val="clear" w:color="auto" w:fill="F2F2F2"/>
        <w:spacing w:before="0" w:after="0"/>
        <w:ind w:left="432"/>
      </w:pPr>
      <w:r>
        <w:rPr>
          <w:rFonts w:ascii="Courier New" w:hAnsi="Courier New"/>
          <w:sz w:val="18"/>
        </w:rPr>
        <w:t xml:space="preserve">  "context": {</w:t>
      </w:r>
    </w:p>
    <w:p>
      <w:pPr>
        <w:shd w:val="clear" w:color="auto" w:fill="F2F2F2"/>
        <w:spacing w:before="0" w:after="0"/>
        <w:ind w:left="432"/>
      </w:pPr>
      <w:r>
        <w:rPr>
          <w:rFonts w:ascii="Courier New" w:hAnsi="Courier New"/>
          <w:sz w:val="18"/>
        </w:rPr>
        <w:t xml:space="preserve">    "domain": "advisory:agri",</w:t>
      </w:r>
    </w:p>
    <w:p>
      <w:pPr>
        <w:shd w:val="clear" w:color="auto" w:fill="F2F2F2"/>
        <w:spacing w:before="0" w:after="0"/>
        <w:ind w:left="432"/>
      </w:pPr>
      <w:r>
        <w:rPr>
          <w:rFonts w:ascii="Courier New" w:hAnsi="Courier New"/>
          <w:sz w:val="18"/>
        </w:rPr>
        <w:t xml:space="preserve">    "action": "on_discover",</w:t>
      </w:r>
    </w:p>
    <w:p>
      <w:pPr>
        <w:shd w:val="clear" w:color="auto" w:fill="F2F2F2"/>
        <w:spacing w:before="0" w:after="0"/>
        <w:ind w:left="432"/>
      </w:pPr>
      <w:r>
        <w:rPr>
          <w:rFonts w:ascii="Courier New" w:hAnsi="Courier New"/>
          <w:sz w:val="18"/>
        </w:rPr>
        <w:t xml:space="preserve">    "version": "2.0.0",</w:t>
      </w:r>
    </w:p>
    <w:p>
      <w:pPr>
        <w:shd w:val="clear" w:color="auto" w:fill="F2F2F2"/>
        <w:spacing w:before="0" w:after="0"/>
        <w:ind w:left="432"/>
      </w:pPr>
      <w:r>
        <w:rPr>
          <w:rFonts w:ascii="Courier New" w:hAnsi="Courier New"/>
          <w:sz w:val="18"/>
        </w:rPr>
        <w:t xml:space="preserve">    "bpp_id": "icar-advisory.becknprotocol.io",</w:t>
      </w:r>
    </w:p>
    <w:p>
      <w:pPr>
        <w:shd w:val="clear" w:color="auto" w:fill="F2F2F2"/>
        <w:spacing w:before="0" w:after="0"/>
        <w:ind w:left="432"/>
      </w:pPr>
      <w:r>
        <w:rPr>
          <w:rFonts w:ascii="Courier New" w:hAnsi="Courier New"/>
          <w:sz w:val="18"/>
        </w:rPr>
        <w:t xml:space="preserve">    "bpp_uri": "https://icar-advisory.becknprotocol.io",</w:t>
      </w:r>
    </w:p>
    <w:p>
      <w:pPr>
        <w:shd w:val="clear" w:color="auto" w:fill="F2F2F2"/>
        <w:spacing w:before="0" w:after="0"/>
        <w:ind w:left="432"/>
      </w:pPr>
      <w:r>
        <w:rPr>
          <w:rFonts w:ascii="Courier New" w:hAnsi="Courier New"/>
          <w:sz w:val="18"/>
        </w:rPr>
        <w:t xml:space="preserve">    "transaction_id": "txn-uc1-001",</w:t>
      </w:r>
    </w:p>
    <w:p>
      <w:pPr>
        <w:shd w:val="clear" w:color="auto" w:fill="F2F2F2"/>
        <w:spacing w:before="0" w:after="0"/>
        <w:ind w:left="432"/>
      </w:pPr>
      <w:r>
        <w:rPr>
          <w:rFonts w:ascii="Courier New" w:hAnsi="Courier New"/>
          <w:sz w:val="18"/>
        </w:rPr>
        <w:t xml:space="preserve">    "message_id": "msg-uc1-002",</w:t>
      </w:r>
    </w:p>
    <w:p>
      <w:pPr>
        <w:shd w:val="clear" w:color="auto" w:fill="F2F2F2"/>
        <w:spacing w:before="0" w:after="0"/>
        <w:ind w:left="432"/>
      </w:pPr>
      <w:r>
        <w:rPr>
          <w:rFonts w:ascii="Courier New" w:hAnsi="Courier New"/>
          <w:sz w:val="18"/>
        </w:rPr>
        <w:t xml:space="preserve">    "timestamp": "2026-03-10T09:00:05Z"</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"message": {</w:t>
      </w:r>
    </w:p>
    <w:p>
      <w:pPr>
        <w:shd w:val="clear" w:color="auto" w:fill="F2F2F2"/>
        <w:spacing w:before="0" w:after="0"/>
        <w:ind w:left="432"/>
      </w:pPr>
      <w:r>
        <w:rPr>
          <w:rFonts w:ascii="Courier New" w:hAnsi="Courier New"/>
          <w:sz w:val="18"/>
        </w:rPr>
        <w:t xml:space="preserve">    "catalog": {</w:t>
      </w:r>
    </w:p>
    <w:p>
      <w:pPr>
        <w:shd w:val="clear" w:color="auto" w:fill="F2F2F2"/>
        <w:spacing w:before="0" w:after="0"/>
        <w:ind w:left="432"/>
      </w:pPr>
      <w:r>
        <w:rPr>
          <w:rFonts w:ascii="Courier New" w:hAnsi="Courier New"/>
          <w:sz w:val="18"/>
        </w:rPr>
        <w:t xml:space="preserve">      "providers": [{</w:t>
      </w:r>
    </w:p>
    <w:p>
      <w:pPr>
        <w:shd w:val="clear" w:color="auto" w:fill="F2F2F2"/>
        <w:spacing w:before="0" w:after="0"/>
        <w:ind w:left="432"/>
      </w:pPr>
      <w:r>
        <w:rPr>
          <w:rFonts w:ascii="Courier New" w:hAnsi="Courier New"/>
          <w:sz w:val="18"/>
        </w:rPr>
        <w:t xml:space="preserve">        "id": "icar-pune",</w:t>
      </w:r>
    </w:p>
    <w:p>
      <w:pPr>
        <w:shd w:val="clear" w:color="auto" w:fill="F2F2F2"/>
        <w:spacing w:before="0" w:after="0"/>
        <w:ind w:left="432"/>
      </w:pPr>
      <w:r>
        <w:rPr>
          <w:rFonts w:ascii="Courier New" w:hAnsi="Courier New"/>
          <w:sz w:val="18"/>
        </w:rPr>
        <w:t xml:space="preserve">        "descriptor": { "name": "ICAR-DOGR Pune" },</w:t>
      </w:r>
    </w:p>
    <w:p>
      <w:pPr>
        <w:shd w:val="clear" w:color="auto" w:fill="F2F2F2"/>
        <w:spacing w:before="0" w:after="0"/>
        <w:ind w:left="432"/>
      </w:pPr>
      <w:r>
        <w:rPr>
          <w:rFonts w:ascii="Courier New" w:hAnsi="Courier New"/>
          <w:sz w:val="18"/>
        </w:rPr>
        <w:t xml:space="preserve">        "categories": [{</w:t>
      </w:r>
    </w:p>
    <w:p>
      <w:pPr>
        <w:shd w:val="clear" w:color="auto" w:fill="F2F2F2"/>
        <w:spacing w:before="0" w:after="0"/>
        <w:ind w:left="432"/>
      </w:pPr>
      <w:r>
        <w:rPr>
          <w:rFonts w:ascii="Courier New" w:hAnsi="Courier New"/>
          <w:sz w:val="18"/>
        </w:rPr>
        <w:t xml:space="preserve">          "id": "cat-disease",</w:t>
      </w:r>
    </w:p>
    <w:p>
      <w:pPr>
        <w:shd w:val="clear" w:color="auto" w:fill="F2F2F2"/>
        <w:spacing w:before="0" w:after="0"/>
        <w:ind w:left="432"/>
      </w:pPr>
      <w:r>
        <w:rPr>
          <w:rFonts w:ascii="Courier New" w:hAnsi="Courier New"/>
          <w:sz w:val="18"/>
        </w:rPr>
        <w:t xml:space="preserve">          "descriptor": { "code": "Crop-Advisory", "name": "Crop Advisory"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"items": [{</w:t>
      </w:r>
    </w:p>
    <w:p>
      <w:pPr>
        <w:shd w:val="clear" w:color="auto" w:fill="F2F2F2"/>
        <w:spacing w:before="0" w:after="0"/>
        <w:ind w:left="432"/>
      </w:pPr>
      <w:r>
        <w:rPr>
          <w:rFonts w:ascii="Courier New" w:hAnsi="Courier New"/>
          <w:sz w:val="18"/>
        </w:rPr>
        <w:t xml:space="preserve">          "id": "adv-onion-blight-001",</w:t>
      </w:r>
    </w:p>
    <w:p>
      <w:pPr>
        <w:shd w:val="clear" w:color="auto" w:fill="F2F2F2"/>
        <w:spacing w:before="0" w:after="0"/>
        <w:ind w:left="432"/>
      </w:pPr>
      <w:r>
        <w:rPr>
          <w:rFonts w:ascii="Courier New" w:hAnsi="Courier New"/>
          <w:sz w:val="18"/>
        </w:rPr>
        <w:t xml:space="preserve">          "descriptor": {</w:t>
      </w:r>
    </w:p>
    <w:p>
      <w:pPr>
        <w:shd w:val="clear" w:color="auto" w:fill="F2F2F2"/>
        <w:spacing w:before="0" w:after="0"/>
        <w:ind w:left="432"/>
      </w:pPr>
      <w:r>
        <w:rPr>
          <w:rFonts w:ascii="Courier New" w:hAnsi="Courier New"/>
          <w:sz w:val="18"/>
        </w:rPr>
        <w:t xml:space="preserve">            "name": "Stemphylium Blight Control in Onion",</w:t>
      </w:r>
    </w:p>
    <w:p>
      <w:pPr>
        <w:shd w:val="clear" w:color="auto" w:fill="F2F2F2"/>
        <w:spacing w:before="0" w:after="0"/>
        <w:ind w:left="432"/>
      </w:pPr>
      <w:r>
        <w:rPr>
          <w:rFonts w:ascii="Courier New" w:hAnsi="Courier New"/>
          <w:sz w:val="18"/>
        </w:rPr>
        <w:t xml:space="preserve">            "short_desc": "कांद्यावरील स्टेम्फेलियम ब्लाईट नियंत्रण",</w:t>
      </w:r>
    </w:p>
    <w:p>
      <w:pPr>
        <w:shd w:val="clear" w:color="auto" w:fill="F2F2F2"/>
        <w:spacing w:before="0" w:after="0"/>
        <w:ind w:left="432"/>
      </w:pPr>
      <w:r>
        <w:rPr>
          <w:rFonts w:ascii="Courier New" w:hAnsi="Courier New"/>
          <w:sz w:val="18"/>
        </w:rPr>
        <w:t xml:space="preserve">            "long_desc": "Comprehensive spray schedule and management guide for Stemphylium blight..."</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"category_ids": ["cat-disease"],</w:t>
      </w:r>
    </w:p>
    <w:p>
      <w:pPr>
        <w:shd w:val="clear" w:color="auto" w:fill="F2F2F2"/>
        <w:spacing w:before="0" w:after="0"/>
        <w:ind w:left="432"/>
      </w:pPr>
      <w:r>
        <w:rPr>
          <w:rFonts w:ascii="Courier New" w:hAnsi="Courier New"/>
          <w:sz w:val="18"/>
        </w:rPr>
        <w:t xml:space="preserve">          "itemAttributes": {</w:t>
      </w:r>
    </w:p>
    <w:p>
      <w:pPr>
        <w:shd w:val="clear" w:color="auto" w:fill="F2F2F2"/>
        <w:spacing w:before="0" w:after="0"/>
        <w:ind w:left="432"/>
      </w:pPr>
      <w:r>
        <w:rPr>
          <w:rFonts w:ascii="Courier New" w:hAnsi="Courier New"/>
          <w:sz w:val="18"/>
        </w:rPr>
        <w:t xml:space="preserve">            "advisoryCategory": "DISEASE_CONTROL",</w:t>
      </w:r>
    </w:p>
    <w:p>
      <w:pPr>
        <w:shd w:val="clear" w:color="auto" w:fill="F2F2F2"/>
        <w:spacing w:before="0" w:after="0"/>
        <w:ind w:left="432"/>
      </w:pPr>
      <w:r>
        <w:rPr>
          <w:rFonts w:ascii="Courier New" w:hAnsi="Courier New"/>
          <w:sz w:val="18"/>
        </w:rPr>
        <w:t xml:space="preserve">            "contentType": "PDF",</w:t>
      </w:r>
    </w:p>
    <w:p>
      <w:pPr>
        <w:shd w:val="clear" w:color="auto" w:fill="F2F2F2"/>
        <w:spacing w:before="0" w:after="0"/>
        <w:ind w:left="432"/>
      </w:pPr>
      <w:r>
        <w:rPr>
          <w:rFonts w:ascii="Courier New" w:hAnsi="Courier New"/>
          <w:sz w:val="18"/>
        </w:rPr>
        <w:t xml:space="preserve">            "contentMimeType": "application/pdf",</w:t>
      </w:r>
    </w:p>
    <w:p>
      <w:pPr>
        <w:shd w:val="clear" w:color="auto" w:fill="F2F2F2"/>
        <w:spacing w:before="0" w:after="0"/>
        <w:ind w:left="432"/>
      </w:pPr>
      <w:r>
        <w:rPr>
          <w:rFonts w:ascii="Courier New" w:hAnsi="Courier New"/>
          <w:sz w:val="18"/>
        </w:rPr>
        <w:t xml:space="preserve">            "contentUrl": "https://icar-dogr.res.in/advisories/onion-blight-mr.pdf",</w:t>
      </w:r>
    </w:p>
    <w:p>
      <w:pPr>
        <w:shd w:val="clear" w:color="auto" w:fill="F2F2F2"/>
        <w:spacing w:before="0" w:after="0"/>
        <w:ind w:left="432"/>
      </w:pPr>
      <w:r>
        <w:rPr>
          <w:rFonts w:ascii="Courier New" w:hAnsi="Courier New"/>
          <w:sz w:val="18"/>
        </w:rPr>
        <w:t xml:space="preserve">            "languages": ["mr", "en"],</w:t>
      </w:r>
    </w:p>
    <w:p>
      <w:pPr>
        <w:shd w:val="clear" w:color="auto" w:fill="F2F2F2"/>
        <w:spacing w:before="0" w:after="0"/>
        <w:ind w:left="432"/>
      </w:pPr>
      <w:r>
        <w:rPr>
          <w:rFonts w:ascii="Courier New" w:hAnsi="Courier New"/>
          <w:sz w:val="18"/>
        </w:rPr>
        <w:t xml:space="preserve">            "targetCrops": ["onion"],</w:t>
      </w:r>
    </w:p>
    <w:p>
      <w:pPr>
        <w:shd w:val="clear" w:color="auto" w:fill="F2F2F2"/>
        <w:spacing w:before="0" w:after="0"/>
        <w:ind w:left="432"/>
      </w:pPr>
      <w:r>
        <w:rPr>
          <w:rFonts w:ascii="Courier New" w:hAnsi="Courier New"/>
          <w:sz w:val="18"/>
        </w:rPr>
        <w:t xml:space="preserve">            "targetDiseases": ["Stemphylium Blight"],</w:t>
      </w:r>
    </w:p>
    <w:p>
      <w:pPr>
        <w:shd w:val="clear" w:color="auto" w:fill="F2F2F2"/>
        <w:spacing w:before="0" w:after="0"/>
        <w:ind w:left="432"/>
      </w:pPr>
      <w:r>
        <w:rPr>
          <w:rFonts w:ascii="Courier New" w:hAnsi="Courier New"/>
          <w:sz w:val="18"/>
        </w:rPr>
        <w:t xml:space="preserve">            "applicableGrowthStages": ["VEGETATIVE", "MATURATION"],</w:t>
      </w:r>
    </w:p>
    <w:p>
      <w:pPr>
        <w:shd w:val="clear" w:color="auto" w:fill="F2F2F2"/>
        <w:spacing w:before="0" w:after="0"/>
        <w:ind w:left="432"/>
      </w:pPr>
      <w:r>
        <w:rPr>
          <w:rFonts w:ascii="Courier New" w:hAnsi="Courier New"/>
          <w:sz w:val="18"/>
        </w:rPr>
        <w:t xml:space="preserve">            "advisorySource": "ICAR-DOGR Pune"</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"offers": [{</w:t>
      </w:r>
    </w:p>
    <w:p>
      <w:pPr>
        <w:shd w:val="clear" w:color="auto" w:fill="F2F2F2"/>
        <w:spacing w:before="0" w:after="0"/>
        <w:ind w:left="432"/>
      </w:pPr>
      <w:r>
        <w:rPr>
          <w:rFonts w:ascii="Courier New" w:hAnsi="Courier New"/>
          <w:sz w:val="18"/>
        </w:rPr>
        <w:t xml:space="preserve">            "id": "offer-free-001",</w:t>
      </w:r>
    </w:p>
    <w:p>
      <w:pPr>
        <w:shd w:val="clear" w:color="auto" w:fill="F2F2F2"/>
        <w:spacing w:before="0" w:after="0"/>
        <w:ind w:left="432"/>
      </w:pPr>
      <w:r>
        <w:rPr>
          <w:rFonts w:ascii="Courier New" w:hAnsi="Courier New"/>
          <w:sz w:val="18"/>
        </w:rPr>
        <w:t xml:space="preserve">            "price": { "currency": "INR", "value": "0" },</w:t>
      </w:r>
    </w:p>
    <w:p>
      <w:pPr>
        <w:shd w:val="clear" w:color="auto" w:fill="F2F2F2"/>
        <w:spacing w:before="0" w:after="0"/>
        <w:ind w:left="432"/>
      </w:pPr>
      <w:r>
        <w:rPr>
          <w:rFonts w:ascii="Courier New" w:hAnsi="Courier New"/>
          <w:sz w:val="18"/>
        </w:rPr>
        <w:t xml:space="preserve">            "offerAttributes": {</w:t>
      </w:r>
    </w:p>
    <w:p>
      <w:pPr>
        <w:shd w:val="clear" w:color="auto" w:fill="F2F2F2"/>
        <w:spacing w:before="0" w:after="0"/>
        <w:ind w:left="432"/>
      </w:pPr>
      <w:r>
        <w:rPr>
          <w:rFonts w:ascii="Courier New" w:hAnsi="Courier New"/>
          <w:sz w:val="18"/>
        </w:rPr>
        <w:t xml:space="preserve">              "pricingModel": "FREE",</w:t>
      </w:r>
    </w:p>
    <w:p>
      <w:pPr>
        <w:shd w:val="clear" w:color="auto" w:fill="F2F2F2"/>
        <w:spacing w:before="0" w:after="0"/>
        <w:ind w:left="432"/>
      </w:pPr>
      <w:r>
        <w:rPr>
          <w:rFonts w:ascii="Courier New" w:hAnsi="Courier New"/>
          <w:sz w:val="18"/>
        </w:rPr>
        <w:t xml:space="preserve">              "accessType": "OPEN_ACCESS",</w:t>
      </w:r>
    </w:p>
    <w:p>
      <w:pPr>
        <w:shd w:val="clear" w:color="auto" w:fill="F2F2F2"/>
        <w:spacing w:before="0" w:after="0"/>
        <w:ind w:left="432"/>
      </w:pPr>
      <w:r>
        <w:rPr>
          <w:rFonts w:ascii="Courier New" w:hAnsi="Courier New"/>
          <w:sz w:val="18"/>
        </w:rPr>
        <w:t xml:space="preserve">              "contentLicense": "OPEN_GOVERNMENT"</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"fulfillments": [{</w:t>
      </w:r>
    </w:p>
    <w:p>
      <w:pPr>
        <w:shd w:val="clear" w:color="auto" w:fill="F2F2F2"/>
        <w:spacing w:before="0" w:after="0"/>
        <w:ind w:left="432"/>
      </w:pPr>
      <w:r>
        <w:rPr>
          <w:rFonts w:ascii="Courier New" w:hAnsi="Courier New"/>
          <w:sz w:val="18"/>
        </w:rPr>
        <w:t xml:space="preserve">            "id": "f-001",</w:t>
      </w:r>
    </w:p>
    <w:p>
      <w:pPr>
        <w:shd w:val="clear" w:color="auto" w:fill="F2F2F2"/>
        <w:spacing w:before="0" w:after="0"/>
        <w:ind w:left="432"/>
      </w:pPr>
      <w:r>
        <w:rPr>
          <w:rFonts w:ascii="Courier New" w:hAnsi="Courier New"/>
          <w:sz w:val="18"/>
        </w:rPr>
        <w:t xml:space="preserve">            "fulfillmentAttributes": {</w:t>
      </w:r>
    </w:p>
    <w:p>
      <w:pPr>
        <w:shd w:val="clear" w:color="auto" w:fill="F2F2F2"/>
        <w:spacing w:before="0" w:after="0"/>
        <w:ind w:left="432"/>
      </w:pPr>
      <w:r>
        <w:rPr>
          <w:rFonts w:ascii="Courier New" w:hAnsi="Courier New"/>
          <w:sz w:val="18"/>
        </w:rPr>
        <w:t xml:space="preserve">              "deliveryMode": "PDF_DOWNLOAD"</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w:t>
      </w:r>
    </w:p>
    <w:p/>
    <w:p>
      <w:pPr>
        <w:pStyle w:val="Heading2"/>
      </w:pPr>
      <w:r>
        <w:t>12.3 UC2 — Commodity Price: discover</w:t>
      </w:r>
    </w:p>
    <w:p>
      <w:r>
        <w:rPr>
          <w:rFonts w:ascii="Arial" w:hAnsi="Arial"/>
          <w:b w:val="0"/>
          <w:i w:val="0"/>
          <w:sz w:val="22"/>
        </w:rPr>
        <w:t>Prashanth's app uses a text_search for NLP-based commodity matching, a JSONPath filter on the typed commodityName attribute, and a spatial SpatialConstraint (s_dwithin) replacing the v1 intent.fulfillment.stops[].location.gps + radius pattern. The price date range filter uses a JSONPath predicate on priceObservationPeriod.</w:t>
      </w:r>
    </w:p>
    <w:p>
      <w:pPr>
        <w:shd w:val="clear" w:color="auto" w:fill="F2F2F2"/>
        <w:spacing w:before="0" w:after="0"/>
        <w:ind w:left="432"/>
      </w:pPr>
      <w:r>
        <w:rPr>
          <w:rFonts w:ascii="Courier New" w:hAnsi="Courier New"/>
          <w:sz w:val="18"/>
        </w:rPr>
        <w:t>{</w:t>
      </w:r>
    </w:p>
    <w:p>
      <w:pPr>
        <w:shd w:val="clear" w:color="auto" w:fill="F2F2F2"/>
        <w:spacing w:before="0" w:after="0"/>
        <w:ind w:left="432"/>
      </w:pPr>
      <w:r>
        <w:rPr>
          <w:rFonts w:ascii="Courier New" w:hAnsi="Courier New"/>
          <w:sz w:val="18"/>
        </w:rPr>
        <w:t xml:space="preserve">  "context": {</w:t>
      </w:r>
    </w:p>
    <w:p>
      <w:pPr>
        <w:shd w:val="clear" w:color="auto" w:fill="F2F2F2"/>
        <w:spacing w:before="0" w:after="0"/>
        <w:ind w:left="432"/>
      </w:pPr>
      <w:r>
        <w:rPr>
          <w:rFonts w:ascii="Courier New" w:hAnsi="Courier New"/>
          <w:sz w:val="18"/>
        </w:rPr>
        <w:t xml:space="preserve">    "domain": "advisory:agri",</w:t>
      </w:r>
    </w:p>
    <w:p>
      <w:pPr>
        <w:shd w:val="clear" w:color="auto" w:fill="F2F2F2"/>
        <w:spacing w:before="0" w:after="0"/>
        <w:ind w:left="432"/>
      </w:pPr>
      <w:r>
        <w:rPr>
          <w:rFonts w:ascii="Courier New" w:hAnsi="Courier New"/>
          <w:sz w:val="18"/>
        </w:rPr>
        <w:t xml:space="preserve">    "action": "discover",</w:t>
      </w:r>
    </w:p>
    <w:p>
      <w:pPr>
        <w:shd w:val="clear" w:color="auto" w:fill="F2F2F2"/>
        <w:spacing w:before="0" w:after="0"/>
        <w:ind w:left="432"/>
      </w:pPr>
      <w:r>
        <w:rPr>
          <w:rFonts w:ascii="Courier New" w:hAnsi="Courier New"/>
          <w:sz w:val="18"/>
        </w:rPr>
        <w:t xml:space="preserve">    "version": "2.0.0",</w:t>
      </w:r>
    </w:p>
    <w:p>
      <w:pPr>
        <w:shd w:val="clear" w:color="auto" w:fill="F2F2F2"/>
        <w:spacing w:before="0" w:after="0"/>
        <w:ind w:left="432"/>
      </w:pPr>
      <w:r>
        <w:rPr>
          <w:rFonts w:ascii="Courier New" w:hAnsi="Courier New"/>
          <w:sz w:val="18"/>
        </w:rPr>
        <w:t xml:space="preserve">    "bap_id": "farmer-app.example.io",</w:t>
      </w:r>
    </w:p>
    <w:p>
      <w:pPr>
        <w:shd w:val="clear" w:color="auto" w:fill="F2F2F2"/>
        <w:spacing w:before="0" w:after="0"/>
        <w:ind w:left="432"/>
      </w:pPr>
      <w:r>
        <w:rPr>
          <w:rFonts w:ascii="Courier New" w:hAnsi="Courier New"/>
          <w:sz w:val="18"/>
        </w:rPr>
        <w:t xml:space="preserve">    "bap_uri": "https://farmer-app.example.io",</w:t>
      </w:r>
    </w:p>
    <w:p>
      <w:pPr>
        <w:shd w:val="clear" w:color="auto" w:fill="F2F2F2"/>
        <w:spacing w:before="0" w:after="0"/>
        <w:ind w:left="432"/>
      </w:pPr>
      <w:r>
        <w:rPr>
          <w:rFonts w:ascii="Courier New" w:hAnsi="Courier New"/>
          <w:sz w:val="18"/>
        </w:rPr>
        <w:t xml:space="preserve">    "transaction_id": "txn-uc2-001",</w:t>
      </w:r>
    </w:p>
    <w:p>
      <w:pPr>
        <w:shd w:val="clear" w:color="auto" w:fill="F2F2F2"/>
        <w:spacing w:before="0" w:after="0"/>
        <w:ind w:left="432"/>
      </w:pPr>
      <w:r>
        <w:rPr>
          <w:rFonts w:ascii="Courier New" w:hAnsi="Courier New"/>
          <w:sz w:val="18"/>
        </w:rPr>
        <w:t xml:space="preserve">    "message_id": "msg-uc2-001",</w:t>
      </w:r>
    </w:p>
    <w:p>
      <w:pPr>
        <w:shd w:val="clear" w:color="auto" w:fill="F2F2F2"/>
        <w:spacing w:before="0" w:after="0"/>
        <w:ind w:left="432"/>
      </w:pPr>
      <w:r>
        <w:rPr>
          <w:rFonts w:ascii="Courier New" w:hAnsi="Courier New"/>
          <w:sz w:val="18"/>
        </w:rPr>
        <w:t xml:space="preserve">    "timestamp": "2026-03-10T08:00:00Z",</w:t>
      </w:r>
    </w:p>
    <w:p>
      <w:pPr>
        <w:shd w:val="clear" w:color="auto" w:fill="F2F2F2"/>
        <w:spacing w:before="0" w:after="0"/>
        <w:ind w:left="432"/>
      </w:pPr>
      <w:r>
        <w:rPr>
          <w:rFonts w:ascii="Courier New" w:hAnsi="Courier New"/>
          <w:sz w:val="18"/>
        </w:rPr>
        <w:t xml:space="preserve">    "schema_context": [</w:t>
      </w:r>
    </w:p>
    <w:p>
      <w:pPr>
        <w:shd w:val="clear" w:color="auto" w:fill="F2F2F2"/>
        <w:spacing w:before="0" w:after="0"/>
        <w:ind w:left="432"/>
      </w:pPr>
      <w:r>
        <w:rPr>
          <w:rFonts w:ascii="Courier New" w:hAnsi="Courier New"/>
          <w:sz w:val="18"/>
        </w:rPr>
        <w:t xml:space="preserve">      "https://agri-advisory.becknprotocol.io/schema/v1/context.jsonld"</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"message": {</w:t>
      </w:r>
    </w:p>
    <w:p>
      <w:pPr>
        <w:shd w:val="clear" w:color="auto" w:fill="F2F2F2"/>
        <w:spacing w:before="0" w:after="0"/>
        <w:ind w:left="432"/>
      </w:pPr>
      <w:r>
        <w:rPr>
          <w:rFonts w:ascii="Courier New" w:hAnsi="Courier New"/>
          <w:sz w:val="18"/>
        </w:rPr>
        <w:t xml:space="preserve">    "text_search": "grape prices APMC mandi",</w:t>
      </w:r>
    </w:p>
    <w:p>
      <w:pPr>
        <w:shd w:val="clear" w:color="auto" w:fill="F2F2F2"/>
        <w:spacing w:before="0" w:after="0"/>
        <w:ind w:left="432"/>
      </w:pPr>
      <w:r>
        <w:rPr>
          <w:rFonts w:ascii="Courier New" w:hAnsi="Courier New"/>
          <w:sz w:val="18"/>
        </w:rPr>
        <w:t xml:space="preserve">    "filters": {</w:t>
      </w:r>
    </w:p>
    <w:p>
      <w:pPr>
        <w:shd w:val="clear" w:color="auto" w:fill="F2F2F2"/>
        <w:spacing w:before="0" w:after="0"/>
        <w:ind w:left="432"/>
      </w:pPr>
      <w:r>
        <w:rPr>
          <w:rFonts w:ascii="Courier New" w:hAnsi="Courier New"/>
          <w:sz w:val="18"/>
        </w:rPr>
        <w:t xml:space="preserve">      "type": "jsonpath",</w:t>
      </w:r>
    </w:p>
    <w:p>
      <w:pPr>
        <w:shd w:val="clear" w:color="auto" w:fill="F2F2F2"/>
        <w:spacing w:before="0" w:after="0"/>
        <w:ind w:left="432"/>
      </w:pPr>
      <w:r>
        <w:rPr>
          <w:rFonts w:ascii="Courier New" w:hAnsi="Courier New"/>
          <w:sz w:val="18"/>
        </w:rPr>
        <w:t xml:space="preserve">      "expression": "$..[?(@.itemAttributes.commodityName == 'Grapes' &amp;&amp; @.itemAttributes.priceObservationPeriod.startDate &gt;= '2026-03-10')]"</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"spatial":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"op": "s_dwithin",</w:t>
      </w:r>
    </w:p>
    <w:p>
      <w:pPr>
        <w:shd w:val="clear" w:color="auto" w:fill="F2F2F2"/>
        <w:spacing w:before="0" w:after="0"/>
        <w:ind w:left="432"/>
      </w:pPr>
      <w:r>
        <w:rPr>
          <w:rFonts w:ascii="Courier New" w:hAnsi="Courier New"/>
          <w:sz w:val="18"/>
        </w:rPr>
        <w:t xml:space="preserve">        "targets": ["itemAttributes.targetLocation"],</w:t>
      </w:r>
    </w:p>
    <w:p>
      <w:pPr>
        <w:shd w:val="clear" w:color="auto" w:fill="F2F2F2"/>
        <w:spacing w:before="0" w:after="0"/>
        <w:ind w:left="432"/>
      </w:pPr>
      <w:r>
        <w:rPr>
          <w:rFonts w:ascii="Courier New" w:hAnsi="Courier New"/>
          <w:sz w:val="18"/>
        </w:rPr>
        <w:t xml:space="preserve">        "geometry": {</w:t>
      </w:r>
    </w:p>
    <w:p>
      <w:pPr>
        <w:shd w:val="clear" w:color="auto" w:fill="F2F2F2"/>
        <w:spacing w:before="0" w:after="0"/>
        <w:ind w:left="432"/>
      </w:pPr>
      <w:r>
        <w:rPr>
          <w:rFonts w:ascii="Courier New" w:hAnsi="Courier New"/>
          <w:sz w:val="18"/>
        </w:rPr>
        <w:t xml:space="preserve">          "type": "Point",</w:t>
      </w:r>
    </w:p>
    <w:p>
      <w:pPr>
        <w:shd w:val="clear" w:color="auto" w:fill="F2F2F2"/>
        <w:spacing w:before="0" w:after="0"/>
        <w:ind w:left="432"/>
      </w:pPr>
      <w:r>
        <w:rPr>
          <w:rFonts w:ascii="Courier New" w:hAnsi="Courier New"/>
          <w:sz w:val="18"/>
        </w:rPr>
        <w:t xml:space="preserve">          "coordinates": [74.5815, 16.8524]</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"distanceMeters": 100000</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w:t>
      </w:r>
    </w:p>
    <w:p/>
    <w:p>
      <w:pPr>
        <w:pStyle w:val="Heading2"/>
      </w:pPr>
      <w:r>
        <w:t>12.4 UC2 — Commodity Price: on_discover</w:t>
      </w:r>
    </w:p>
    <w:p>
      <w:pPr>
        <w:shd w:val="clear" w:color="auto" w:fill="F2F2F2"/>
        <w:spacing w:before="0" w:after="0"/>
        <w:ind w:left="432"/>
      </w:pPr>
      <w:r>
        <w:rPr>
          <w:rFonts w:ascii="Courier New" w:hAnsi="Courier New"/>
          <w:sz w:val="18"/>
        </w:rPr>
        <w:t>{</w:t>
      </w:r>
    </w:p>
    <w:p>
      <w:pPr>
        <w:shd w:val="clear" w:color="auto" w:fill="F2F2F2"/>
        <w:spacing w:before="0" w:after="0"/>
        <w:ind w:left="432"/>
      </w:pPr>
      <w:r>
        <w:rPr>
          <w:rFonts w:ascii="Courier New" w:hAnsi="Courier New"/>
          <w:sz w:val="18"/>
        </w:rPr>
        <w:t xml:space="preserve">  "context": {</w:t>
      </w:r>
    </w:p>
    <w:p>
      <w:pPr>
        <w:shd w:val="clear" w:color="auto" w:fill="F2F2F2"/>
        <w:spacing w:before="0" w:after="0"/>
        <w:ind w:left="432"/>
      </w:pPr>
      <w:r>
        <w:rPr>
          <w:rFonts w:ascii="Courier New" w:hAnsi="Courier New"/>
          <w:sz w:val="18"/>
        </w:rPr>
        <w:t xml:space="preserve">    "domain": "advisory:agri",</w:t>
      </w:r>
    </w:p>
    <w:p>
      <w:pPr>
        <w:shd w:val="clear" w:color="auto" w:fill="F2F2F2"/>
        <w:spacing w:before="0" w:after="0"/>
        <w:ind w:left="432"/>
      </w:pPr>
      <w:r>
        <w:rPr>
          <w:rFonts w:ascii="Courier New" w:hAnsi="Courier New"/>
          <w:sz w:val="18"/>
        </w:rPr>
        <w:t xml:space="preserve">    "action": "on_discover",</w:t>
      </w:r>
    </w:p>
    <w:p>
      <w:pPr>
        <w:shd w:val="clear" w:color="auto" w:fill="F2F2F2"/>
        <w:spacing w:before="0" w:after="0"/>
        <w:ind w:left="432"/>
      </w:pPr>
      <w:r>
        <w:rPr>
          <w:rFonts w:ascii="Courier New" w:hAnsi="Courier New"/>
          <w:sz w:val="18"/>
        </w:rPr>
        <w:t xml:space="preserve">    "version": "2.0.0",</w:t>
      </w:r>
    </w:p>
    <w:p>
      <w:pPr>
        <w:shd w:val="clear" w:color="auto" w:fill="F2F2F2"/>
        <w:spacing w:before="0" w:after="0"/>
        <w:ind w:left="432"/>
      </w:pPr>
      <w:r>
        <w:rPr>
          <w:rFonts w:ascii="Courier New" w:hAnsi="Courier New"/>
          <w:sz w:val="18"/>
        </w:rPr>
        <w:t xml:space="preserve">    "bpp_id": "agmarknet-bpp.example.io",</w:t>
      </w:r>
    </w:p>
    <w:p>
      <w:pPr>
        <w:shd w:val="clear" w:color="auto" w:fill="F2F2F2"/>
        <w:spacing w:before="0" w:after="0"/>
        <w:ind w:left="432"/>
      </w:pPr>
      <w:r>
        <w:rPr>
          <w:rFonts w:ascii="Courier New" w:hAnsi="Courier New"/>
          <w:sz w:val="18"/>
        </w:rPr>
        <w:t xml:space="preserve">    "transaction_id": "txn-uc2-001",</w:t>
      </w:r>
    </w:p>
    <w:p>
      <w:pPr>
        <w:shd w:val="clear" w:color="auto" w:fill="F2F2F2"/>
        <w:spacing w:before="0" w:after="0"/>
        <w:ind w:left="432"/>
      </w:pPr>
      <w:r>
        <w:rPr>
          <w:rFonts w:ascii="Courier New" w:hAnsi="Courier New"/>
          <w:sz w:val="18"/>
        </w:rPr>
        <w:t xml:space="preserve">    "message_id": "msg-uc2-002",</w:t>
      </w:r>
    </w:p>
    <w:p>
      <w:pPr>
        <w:shd w:val="clear" w:color="auto" w:fill="F2F2F2"/>
        <w:spacing w:before="0" w:after="0"/>
        <w:ind w:left="432"/>
      </w:pPr>
      <w:r>
        <w:rPr>
          <w:rFonts w:ascii="Courier New" w:hAnsi="Courier New"/>
          <w:sz w:val="18"/>
        </w:rPr>
        <w:t xml:space="preserve">    "timestamp": "2026-03-10T08:00:03Z"</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"message": {</w:t>
      </w:r>
    </w:p>
    <w:p>
      <w:pPr>
        <w:shd w:val="clear" w:color="auto" w:fill="F2F2F2"/>
        <w:spacing w:before="0" w:after="0"/>
        <w:ind w:left="432"/>
      </w:pPr>
      <w:r>
        <w:rPr>
          <w:rFonts w:ascii="Courier New" w:hAnsi="Courier New"/>
          <w:sz w:val="18"/>
        </w:rPr>
        <w:t xml:space="preserve">    "catalog": {</w:t>
      </w:r>
    </w:p>
    <w:p>
      <w:pPr>
        <w:shd w:val="clear" w:color="auto" w:fill="F2F2F2"/>
        <w:spacing w:before="0" w:after="0"/>
        <w:ind w:left="432"/>
      </w:pPr>
      <w:r>
        <w:rPr>
          <w:rFonts w:ascii="Courier New" w:hAnsi="Courier New"/>
          <w:sz w:val="18"/>
        </w:rPr>
        <w:t xml:space="preserve">      "providers": [{</w:t>
      </w:r>
    </w:p>
    <w:p>
      <w:pPr>
        <w:shd w:val="clear" w:color="auto" w:fill="F2F2F2"/>
        <w:spacing w:before="0" w:after="0"/>
        <w:ind w:left="432"/>
      </w:pPr>
      <w:r>
        <w:rPr>
          <w:rFonts w:ascii="Courier New" w:hAnsi="Courier New"/>
          <w:sz w:val="18"/>
        </w:rPr>
        <w:t xml:space="preserve">        "id": "agmarknet",</w:t>
      </w:r>
    </w:p>
    <w:p>
      <w:pPr>
        <w:shd w:val="clear" w:color="auto" w:fill="F2F2F2"/>
        <w:spacing w:before="0" w:after="0"/>
        <w:ind w:left="432"/>
      </w:pPr>
      <w:r>
        <w:rPr>
          <w:rFonts w:ascii="Courier New" w:hAnsi="Courier New"/>
          <w:sz w:val="18"/>
        </w:rPr>
        <w:t xml:space="preserve">        "descriptor": { "name": "AGMARKNET" },</w:t>
      </w:r>
    </w:p>
    <w:p>
      <w:pPr>
        <w:shd w:val="clear" w:color="auto" w:fill="F2F2F2"/>
        <w:spacing w:before="0" w:after="0"/>
        <w:ind w:left="432"/>
      </w:pPr>
      <w:r>
        <w:rPr>
          <w:rFonts w:ascii="Courier New" w:hAnsi="Courier New"/>
          <w:sz w:val="18"/>
        </w:rPr>
        <w:t xml:space="preserve">        "items": [{</w:t>
      </w:r>
    </w:p>
    <w:p>
      <w:pPr>
        <w:shd w:val="clear" w:color="auto" w:fill="F2F2F2"/>
        <w:spacing w:before="0" w:after="0"/>
        <w:ind w:left="432"/>
      </w:pPr>
      <w:r>
        <w:rPr>
          <w:rFonts w:ascii="Courier New" w:hAnsi="Courier New"/>
          <w:sz w:val="18"/>
        </w:rPr>
        <w:t xml:space="preserve">          "id": "price-grapes-sangli-20260310",</w:t>
      </w:r>
    </w:p>
    <w:p>
      <w:pPr>
        <w:shd w:val="clear" w:color="auto" w:fill="F2F2F2"/>
        <w:spacing w:before="0" w:after="0"/>
        <w:ind w:left="432"/>
      </w:pPr>
      <w:r>
        <w:rPr>
          <w:rFonts w:ascii="Courier New" w:hAnsi="Courier New"/>
          <w:sz w:val="18"/>
        </w:rPr>
        <w:t xml:space="preserve">          "descriptor": { "name": "Thompson Seedless Grapes - Sangli APMC" },</w:t>
      </w:r>
    </w:p>
    <w:p>
      <w:pPr>
        <w:shd w:val="clear" w:color="auto" w:fill="F2F2F2"/>
        <w:spacing w:before="0" w:after="0"/>
        <w:ind w:left="432"/>
      </w:pPr>
      <w:r>
        <w:rPr>
          <w:rFonts w:ascii="Courier New" w:hAnsi="Courier New"/>
          <w:sz w:val="18"/>
        </w:rPr>
        <w:t xml:space="preserve">          "itemAttributes": {</w:t>
      </w:r>
    </w:p>
    <w:p>
      <w:pPr>
        <w:shd w:val="clear" w:color="auto" w:fill="F2F2F2"/>
        <w:spacing w:before="0" w:after="0"/>
        <w:ind w:left="432"/>
      </w:pPr>
      <w:r>
        <w:rPr>
          <w:rFonts w:ascii="Courier New" w:hAnsi="Courier New"/>
          <w:sz w:val="18"/>
        </w:rPr>
        <w:t xml:space="preserve">            "commodityName": "Grapes",</w:t>
      </w:r>
    </w:p>
    <w:p>
      <w:pPr>
        <w:shd w:val="clear" w:color="auto" w:fill="F2F2F2"/>
        <w:spacing w:before="0" w:after="0"/>
        <w:ind w:left="432"/>
      </w:pPr>
      <w:r>
        <w:rPr>
          <w:rFonts w:ascii="Courier New" w:hAnsi="Courier New"/>
          <w:sz w:val="18"/>
        </w:rPr>
        <w:t xml:space="preserve">            "commodityCode": "GRP001",</w:t>
      </w:r>
    </w:p>
    <w:p>
      <w:pPr>
        <w:shd w:val="clear" w:color="auto" w:fill="F2F2F2"/>
        <w:spacing w:before="0" w:after="0"/>
        <w:ind w:left="432"/>
      </w:pPr>
      <w:r>
        <w:rPr>
          <w:rFonts w:ascii="Courier New" w:hAnsi="Courier New"/>
          <w:sz w:val="18"/>
        </w:rPr>
        <w:t xml:space="preserve">            "commodityVariety": "Thompson Seedless",</w:t>
      </w:r>
    </w:p>
    <w:p>
      <w:pPr>
        <w:shd w:val="clear" w:color="auto" w:fill="F2F2F2"/>
        <w:spacing w:before="0" w:after="0"/>
        <w:ind w:left="432"/>
      </w:pPr>
      <w:r>
        <w:rPr>
          <w:rFonts w:ascii="Courier New" w:hAnsi="Courier New"/>
          <w:sz w:val="18"/>
        </w:rPr>
        <w:t xml:space="preserve">            "commodityGrade": "A",</w:t>
      </w:r>
    </w:p>
    <w:p>
      <w:pPr>
        <w:shd w:val="clear" w:color="auto" w:fill="F2F2F2"/>
        <w:spacing w:before="0" w:after="0"/>
        <w:ind w:left="432"/>
      </w:pPr>
      <w:r>
        <w:rPr>
          <w:rFonts w:ascii="Courier New" w:hAnsi="Courier New"/>
          <w:sz w:val="18"/>
        </w:rPr>
        <w:t xml:space="preserve">            "mandiName": "Sangli APMC",</w:t>
      </w:r>
    </w:p>
    <w:p>
      <w:pPr>
        <w:shd w:val="clear" w:color="auto" w:fill="F2F2F2"/>
        <w:spacing w:before="0" w:after="0"/>
        <w:ind w:left="432"/>
      </w:pPr>
      <w:r>
        <w:rPr>
          <w:rFonts w:ascii="Courier New" w:hAnsi="Courier New"/>
          <w:sz w:val="18"/>
        </w:rPr>
        <w:t xml:space="preserve">            "mandiCode": "MH-SNG-001",</w:t>
      </w:r>
    </w:p>
    <w:p>
      <w:pPr>
        <w:shd w:val="clear" w:color="auto" w:fill="F2F2F2"/>
        <w:spacing w:before="0" w:after="0"/>
        <w:ind w:left="432"/>
      </w:pPr>
      <w:r>
        <w:rPr>
          <w:rFonts w:ascii="Courier New" w:hAnsi="Courier New"/>
          <w:sz w:val="18"/>
        </w:rPr>
        <w:t xml:space="preserve">            "priceObservationPeriod": {</w:t>
      </w:r>
    </w:p>
    <w:p>
      <w:pPr>
        <w:shd w:val="clear" w:color="auto" w:fill="F2F2F2"/>
        <w:spacing w:before="0" w:after="0"/>
        <w:ind w:left="432"/>
      </w:pPr>
      <w:r>
        <w:rPr>
          <w:rFonts w:ascii="Courier New" w:hAnsi="Courier New"/>
          <w:sz w:val="18"/>
        </w:rPr>
        <w:t xml:space="preserve">              "startDate": "2026-03-10",</w:t>
      </w:r>
    </w:p>
    <w:p>
      <w:pPr>
        <w:shd w:val="clear" w:color="auto" w:fill="F2F2F2"/>
        <w:spacing w:before="0" w:after="0"/>
        <w:ind w:left="432"/>
      </w:pPr>
      <w:r>
        <w:rPr>
          <w:rFonts w:ascii="Courier New" w:hAnsi="Courier New"/>
          <w:sz w:val="18"/>
        </w:rPr>
        <w:t xml:space="preserve">              "endDate": "2026-03-10"</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"priceSource": "AGMARKNET",</w:t>
      </w:r>
    </w:p>
    <w:p>
      <w:pPr>
        <w:shd w:val="clear" w:color="auto" w:fill="F2F2F2"/>
        <w:spacing w:before="0" w:after="0"/>
        <w:ind w:left="432"/>
      </w:pPr>
      <w:r>
        <w:rPr>
          <w:rFonts w:ascii="Courier New" w:hAnsi="Courier New"/>
          <w:sz w:val="18"/>
        </w:rPr>
        <w:t xml:space="preserve">            "dataLicense": "GODL"</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"offers": [{</w:t>
      </w:r>
    </w:p>
    <w:p>
      <w:pPr>
        <w:shd w:val="clear" w:color="auto" w:fill="F2F2F2"/>
        <w:spacing w:before="0" w:after="0"/>
        <w:ind w:left="432"/>
      </w:pPr>
      <w:r>
        <w:rPr>
          <w:rFonts w:ascii="Courier New" w:hAnsi="Courier New"/>
          <w:sz w:val="18"/>
        </w:rPr>
        <w:t xml:space="preserve">            "id": "offer-price-001",</w:t>
      </w:r>
    </w:p>
    <w:p>
      <w:pPr>
        <w:shd w:val="clear" w:color="auto" w:fill="F2F2F2"/>
        <w:spacing w:before="0" w:after="0"/>
        <w:ind w:left="432"/>
      </w:pPr>
      <w:r>
        <w:rPr>
          <w:rFonts w:ascii="Courier New" w:hAnsi="Courier New"/>
          <w:sz w:val="18"/>
        </w:rPr>
        <w:t xml:space="preserve">            "price": { "currency": "INR", "value": "4500" },</w:t>
      </w:r>
    </w:p>
    <w:p>
      <w:pPr>
        <w:shd w:val="clear" w:color="auto" w:fill="F2F2F2"/>
        <w:spacing w:before="0" w:after="0"/>
        <w:ind w:left="432"/>
      </w:pPr>
      <w:r>
        <w:rPr>
          <w:rFonts w:ascii="Courier New" w:hAnsi="Courier New"/>
          <w:sz w:val="18"/>
        </w:rPr>
        <w:t xml:space="preserve">            "offerAttributes": {</w:t>
      </w:r>
    </w:p>
    <w:p>
      <w:pPr>
        <w:shd w:val="clear" w:color="auto" w:fill="F2F2F2"/>
        <w:spacing w:before="0" w:after="0"/>
        <w:ind w:left="432"/>
      </w:pPr>
      <w:r>
        <w:rPr>
          <w:rFonts w:ascii="Courier New" w:hAnsi="Courier New"/>
          <w:sz w:val="18"/>
        </w:rPr>
        <w:t xml:space="preserve">              "minPrice": 3800,</w:t>
      </w:r>
    </w:p>
    <w:p>
      <w:pPr>
        <w:shd w:val="clear" w:color="auto" w:fill="F2F2F2"/>
        <w:spacing w:before="0" w:after="0"/>
        <w:ind w:left="432"/>
      </w:pPr>
      <w:r>
        <w:rPr>
          <w:rFonts w:ascii="Courier New" w:hAnsi="Courier New"/>
          <w:sz w:val="18"/>
        </w:rPr>
        <w:t xml:space="preserve">              "maxPrice": 5200,</w:t>
      </w:r>
    </w:p>
    <w:p>
      <w:pPr>
        <w:shd w:val="clear" w:color="auto" w:fill="F2F2F2"/>
        <w:spacing w:before="0" w:after="0"/>
        <w:ind w:left="432"/>
      </w:pPr>
      <w:r>
        <w:rPr>
          <w:rFonts w:ascii="Courier New" w:hAnsi="Courier New"/>
          <w:sz w:val="18"/>
        </w:rPr>
        <w:t xml:space="preserve">              "averagePrice": 4500,</w:t>
      </w:r>
    </w:p>
    <w:p>
      <w:pPr>
        <w:shd w:val="clear" w:color="auto" w:fill="F2F2F2"/>
        <w:spacing w:before="0" w:after="0"/>
        <w:ind w:left="432"/>
      </w:pPr>
      <w:r>
        <w:rPr>
          <w:rFonts w:ascii="Courier New" w:hAnsi="Courier New"/>
          <w:sz w:val="18"/>
        </w:rPr>
        <w:t xml:space="preserve">              "currency": "INR",</w:t>
      </w:r>
    </w:p>
    <w:p>
      <w:pPr>
        <w:shd w:val="clear" w:color="auto" w:fill="F2F2F2"/>
        <w:spacing w:before="0" w:after="0"/>
        <w:ind w:left="432"/>
      </w:pPr>
      <w:r>
        <w:rPr>
          <w:rFonts w:ascii="Courier New" w:hAnsi="Courier New"/>
          <w:sz w:val="18"/>
        </w:rPr>
        <w:t xml:space="preserve">              "unitOfMeasure": "per Quintal",</w:t>
      </w:r>
    </w:p>
    <w:p>
      <w:pPr>
        <w:shd w:val="clear" w:color="auto" w:fill="F2F2F2"/>
        <w:spacing w:before="0" w:after="0"/>
        <w:ind w:left="432"/>
      </w:pPr>
      <w:r>
        <w:rPr>
          <w:rFonts w:ascii="Courier New" w:hAnsi="Courier New"/>
          <w:sz w:val="18"/>
        </w:rPr>
        <w:t xml:space="preserve">              "priceVolatilityIndicator": "MODERATE",</w:t>
      </w:r>
    </w:p>
    <w:p>
      <w:pPr>
        <w:shd w:val="clear" w:color="auto" w:fill="F2F2F2"/>
        <w:spacing w:before="0" w:after="0"/>
        <w:ind w:left="432"/>
      </w:pPr>
      <w:r>
        <w:rPr>
          <w:rFonts w:ascii="Courier New" w:hAnsi="Courier New"/>
          <w:sz w:val="18"/>
        </w:rPr>
        <w:t xml:space="preserve">              "arrivals": { "quantity": 250, "unit": "Quintal"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"fulfillments": [{</w:t>
      </w:r>
    </w:p>
    <w:p>
      <w:pPr>
        <w:shd w:val="clear" w:color="auto" w:fill="F2F2F2"/>
        <w:spacing w:before="0" w:after="0"/>
        <w:ind w:left="432"/>
      </w:pPr>
      <w:r>
        <w:rPr>
          <w:rFonts w:ascii="Courier New" w:hAnsi="Courier New"/>
          <w:sz w:val="18"/>
        </w:rPr>
        <w:t xml:space="preserve">            "id": "f-uc2-001",</w:t>
      </w:r>
    </w:p>
    <w:p>
      <w:pPr>
        <w:shd w:val="clear" w:color="auto" w:fill="F2F2F2"/>
        <w:spacing w:before="0" w:after="0"/>
        <w:ind w:left="432"/>
      </w:pPr>
      <w:r>
        <w:rPr>
          <w:rFonts w:ascii="Courier New" w:hAnsi="Courier New"/>
          <w:sz w:val="18"/>
        </w:rPr>
        <w:t xml:space="preserve">            "fulfillmentAttributes": {</w:t>
      </w:r>
    </w:p>
    <w:p>
      <w:pPr>
        <w:shd w:val="clear" w:color="auto" w:fill="F2F2F2"/>
        <w:spacing w:before="0" w:after="0"/>
        <w:ind w:left="432"/>
      </w:pPr>
      <w:r>
        <w:rPr>
          <w:rFonts w:ascii="Courier New" w:hAnsi="Courier New"/>
          <w:sz w:val="18"/>
        </w:rPr>
        <w:t xml:space="preserve">              "deliveryMode": "API_RESPONSE",</w:t>
      </w:r>
    </w:p>
    <w:p>
      <w:pPr>
        <w:shd w:val="clear" w:color="auto" w:fill="F2F2F2"/>
        <w:spacing w:before="0" w:after="0"/>
        <w:ind w:left="432"/>
      </w:pPr>
      <w:r>
        <w:rPr>
          <w:rFonts w:ascii="Courier New" w:hAnsi="Courier New"/>
          <w:sz w:val="18"/>
        </w:rPr>
        <w:t xml:space="preserve">              "targetLocation": {</w:t>
      </w:r>
    </w:p>
    <w:p>
      <w:pPr>
        <w:shd w:val="clear" w:color="auto" w:fill="F2F2F2"/>
        <w:spacing w:before="0" w:after="0"/>
        <w:ind w:left="432"/>
      </w:pPr>
      <w:r>
        <w:rPr>
          <w:rFonts w:ascii="Courier New" w:hAnsi="Courier New"/>
          <w:sz w:val="18"/>
        </w:rPr>
        <w:t xml:space="preserve">                "type": "Point",</w:t>
      </w:r>
    </w:p>
    <w:p>
      <w:pPr>
        <w:shd w:val="clear" w:color="auto" w:fill="F2F2F2"/>
        <w:spacing w:before="0" w:after="0"/>
        <w:ind w:left="432"/>
      </w:pPr>
      <w:r>
        <w:rPr>
          <w:rFonts w:ascii="Courier New" w:hAnsi="Courier New"/>
          <w:sz w:val="18"/>
        </w:rPr>
        <w:t xml:space="preserve">                "coordinates": [74.5630, 16.8524]</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w:t>
      </w:r>
    </w:p>
    <w:p/>
    <w:p>
      <w:pPr>
        <w:pStyle w:val="Heading2"/>
      </w:pPr>
      <w:r>
        <w:t>12.5 UC3 — Weather Forecast: discover</w:t>
      </w:r>
    </w:p>
    <w:p>
      <w:r>
        <w:rPr>
          <w:rFonts w:ascii="Arial" w:hAnsi="Arial"/>
          <w:b w:val="0"/>
          <w:i w:val="0"/>
          <w:sz w:val="22"/>
        </w:rPr>
        <w:t>Monisha's app combines a text_search for NLP intent, JSONPath filters on typed forecastType and forecastDurationDays attributes, and a spatial SpatialConstraint to find weather providers covering her farm location.</w:t>
      </w:r>
    </w:p>
    <w:p>
      <w:pPr>
        <w:shd w:val="clear" w:color="auto" w:fill="F2F2F2"/>
        <w:spacing w:before="0" w:after="0"/>
        <w:ind w:left="432"/>
      </w:pPr>
      <w:r>
        <w:rPr>
          <w:rFonts w:ascii="Courier New" w:hAnsi="Courier New"/>
          <w:sz w:val="18"/>
        </w:rPr>
        <w:t>{</w:t>
      </w:r>
    </w:p>
    <w:p>
      <w:pPr>
        <w:shd w:val="clear" w:color="auto" w:fill="F2F2F2"/>
        <w:spacing w:before="0" w:after="0"/>
        <w:ind w:left="432"/>
      </w:pPr>
      <w:r>
        <w:rPr>
          <w:rFonts w:ascii="Courier New" w:hAnsi="Courier New"/>
          <w:sz w:val="18"/>
        </w:rPr>
        <w:t xml:space="preserve">  "context": {</w:t>
      </w:r>
    </w:p>
    <w:p>
      <w:pPr>
        <w:shd w:val="clear" w:color="auto" w:fill="F2F2F2"/>
        <w:spacing w:before="0" w:after="0"/>
        <w:ind w:left="432"/>
      </w:pPr>
      <w:r>
        <w:rPr>
          <w:rFonts w:ascii="Courier New" w:hAnsi="Courier New"/>
          <w:sz w:val="18"/>
        </w:rPr>
        <w:t xml:space="preserve">    "domain": "advisory:agri",</w:t>
      </w:r>
    </w:p>
    <w:p>
      <w:pPr>
        <w:shd w:val="clear" w:color="auto" w:fill="F2F2F2"/>
        <w:spacing w:before="0" w:after="0"/>
        <w:ind w:left="432"/>
      </w:pPr>
      <w:r>
        <w:rPr>
          <w:rFonts w:ascii="Courier New" w:hAnsi="Courier New"/>
          <w:sz w:val="18"/>
        </w:rPr>
        <w:t xml:space="preserve">    "action": "discover",</w:t>
      </w:r>
    </w:p>
    <w:p>
      <w:pPr>
        <w:shd w:val="clear" w:color="auto" w:fill="F2F2F2"/>
        <w:spacing w:before="0" w:after="0"/>
        <w:ind w:left="432"/>
      </w:pPr>
      <w:r>
        <w:rPr>
          <w:rFonts w:ascii="Courier New" w:hAnsi="Courier New"/>
          <w:sz w:val="18"/>
        </w:rPr>
        <w:t xml:space="preserve">    "version": "2.0.0",</w:t>
      </w:r>
    </w:p>
    <w:p>
      <w:pPr>
        <w:shd w:val="clear" w:color="auto" w:fill="F2F2F2"/>
        <w:spacing w:before="0" w:after="0"/>
        <w:ind w:left="432"/>
      </w:pPr>
      <w:r>
        <w:rPr>
          <w:rFonts w:ascii="Courier New" w:hAnsi="Courier New"/>
          <w:sz w:val="18"/>
        </w:rPr>
        <w:t xml:space="preserve">    "bap_id": "farmer-app.example.io",</w:t>
      </w:r>
    </w:p>
    <w:p>
      <w:pPr>
        <w:shd w:val="clear" w:color="auto" w:fill="F2F2F2"/>
        <w:spacing w:before="0" w:after="0"/>
        <w:ind w:left="432"/>
      </w:pPr>
      <w:r>
        <w:rPr>
          <w:rFonts w:ascii="Courier New" w:hAnsi="Courier New"/>
          <w:sz w:val="18"/>
        </w:rPr>
        <w:t xml:space="preserve">    "bap_uri": "https://farmer-app.example.io",</w:t>
      </w:r>
    </w:p>
    <w:p>
      <w:pPr>
        <w:shd w:val="clear" w:color="auto" w:fill="F2F2F2"/>
        <w:spacing w:before="0" w:after="0"/>
        <w:ind w:left="432"/>
      </w:pPr>
      <w:r>
        <w:rPr>
          <w:rFonts w:ascii="Courier New" w:hAnsi="Courier New"/>
          <w:sz w:val="18"/>
        </w:rPr>
        <w:t xml:space="preserve">    "transaction_id": "txn-uc3-001",</w:t>
      </w:r>
    </w:p>
    <w:p>
      <w:pPr>
        <w:shd w:val="clear" w:color="auto" w:fill="F2F2F2"/>
        <w:spacing w:before="0" w:after="0"/>
        <w:ind w:left="432"/>
      </w:pPr>
      <w:r>
        <w:rPr>
          <w:rFonts w:ascii="Courier New" w:hAnsi="Courier New"/>
          <w:sz w:val="18"/>
        </w:rPr>
        <w:t xml:space="preserve">    "message_id": "msg-uc3-001",</w:t>
      </w:r>
    </w:p>
    <w:p>
      <w:pPr>
        <w:shd w:val="clear" w:color="auto" w:fill="F2F2F2"/>
        <w:spacing w:before="0" w:after="0"/>
        <w:ind w:left="432"/>
      </w:pPr>
      <w:r>
        <w:rPr>
          <w:rFonts w:ascii="Courier New" w:hAnsi="Courier New"/>
          <w:sz w:val="18"/>
        </w:rPr>
        <w:t xml:space="preserve">    "timestamp": "2026-03-10T07:00:00Z",</w:t>
      </w:r>
    </w:p>
    <w:p>
      <w:pPr>
        <w:shd w:val="clear" w:color="auto" w:fill="F2F2F2"/>
        <w:spacing w:before="0" w:after="0"/>
        <w:ind w:left="432"/>
      </w:pPr>
      <w:r>
        <w:rPr>
          <w:rFonts w:ascii="Courier New" w:hAnsi="Courier New"/>
          <w:sz w:val="18"/>
        </w:rPr>
        <w:t xml:space="preserve">    "schema_context": [</w:t>
      </w:r>
    </w:p>
    <w:p>
      <w:pPr>
        <w:shd w:val="clear" w:color="auto" w:fill="F2F2F2"/>
        <w:spacing w:before="0" w:after="0"/>
        <w:ind w:left="432"/>
      </w:pPr>
      <w:r>
        <w:rPr>
          <w:rFonts w:ascii="Courier New" w:hAnsi="Courier New"/>
          <w:sz w:val="18"/>
        </w:rPr>
        <w:t xml:space="preserve">      "https://agri-advisory.becknprotocol.io/schema/v1/context.jsonld"</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"message": {</w:t>
      </w:r>
    </w:p>
    <w:p>
      <w:pPr>
        <w:shd w:val="clear" w:color="auto" w:fill="F2F2F2"/>
        <w:spacing w:before="0" w:after="0"/>
        <w:ind w:left="432"/>
      </w:pPr>
      <w:r>
        <w:rPr>
          <w:rFonts w:ascii="Courier New" w:hAnsi="Courier New"/>
          <w:sz w:val="18"/>
        </w:rPr>
        <w:t xml:space="preserve">    "text_search": "14-day hyperlocal weather forecast Nashik farm",</w:t>
      </w:r>
    </w:p>
    <w:p>
      <w:pPr>
        <w:shd w:val="clear" w:color="auto" w:fill="F2F2F2"/>
        <w:spacing w:before="0" w:after="0"/>
        <w:ind w:left="432"/>
      </w:pPr>
      <w:r>
        <w:rPr>
          <w:rFonts w:ascii="Courier New" w:hAnsi="Courier New"/>
          <w:sz w:val="18"/>
        </w:rPr>
        <w:t xml:space="preserve">    "filters": {</w:t>
      </w:r>
    </w:p>
    <w:p>
      <w:pPr>
        <w:shd w:val="clear" w:color="auto" w:fill="F2F2F2"/>
        <w:spacing w:before="0" w:after="0"/>
        <w:ind w:left="432"/>
      </w:pPr>
      <w:r>
        <w:rPr>
          <w:rFonts w:ascii="Courier New" w:hAnsi="Courier New"/>
          <w:sz w:val="18"/>
        </w:rPr>
        <w:t xml:space="preserve">      "type": "jsonpath",</w:t>
      </w:r>
    </w:p>
    <w:p>
      <w:pPr>
        <w:shd w:val="clear" w:color="auto" w:fill="F2F2F2"/>
        <w:spacing w:before="0" w:after="0"/>
        <w:ind w:left="432"/>
      </w:pPr>
      <w:r>
        <w:rPr>
          <w:rFonts w:ascii="Courier New" w:hAnsi="Courier New"/>
          <w:sz w:val="18"/>
        </w:rPr>
        <w:t xml:space="preserve">      "expression": "$..[?(@.itemAttributes.forecastType == 'WEATHER_FORECAST' &amp;&amp; @.itemAttributes.forecastDurationDays &gt;= 14 &amp;&amp; 'PRECIPITATION' in @.itemAttributes.weatherDataPoints)]"</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"spatial":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"op": "s_dwithin",</w:t>
      </w:r>
    </w:p>
    <w:p>
      <w:pPr>
        <w:shd w:val="clear" w:color="auto" w:fill="F2F2F2"/>
        <w:spacing w:before="0" w:after="0"/>
        <w:ind w:left="432"/>
      </w:pPr>
      <w:r>
        <w:rPr>
          <w:rFonts w:ascii="Courier New" w:hAnsi="Courier New"/>
          <w:sz w:val="18"/>
        </w:rPr>
        <w:t xml:space="preserve">        "targets": ["fulfillmentAttributes.targetLocation"],</w:t>
      </w:r>
    </w:p>
    <w:p>
      <w:pPr>
        <w:shd w:val="clear" w:color="auto" w:fill="F2F2F2"/>
        <w:spacing w:before="0" w:after="0"/>
        <w:ind w:left="432"/>
      </w:pPr>
      <w:r>
        <w:rPr>
          <w:rFonts w:ascii="Courier New" w:hAnsi="Courier New"/>
          <w:sz w:val="18"/>
        </w:rPr>
        <w:t xml:space="preserve">        "geometry": {</w:t>
      </w:r>
    </w:p>
    <w:p>
      <w:pPr>
        <w:shd w:val="clear" w:color="auto" w:fill="F2F2F2"/>
        <w:spacing w:before="0" w:after="0"/>
        <w:ind w:left="432"/>
      </w:pPr>
      <w:r>
        <w:rPr>
          <w:rFonts w:ascii="Courier New" w:hAnsi="Courier New"/>
          <w:sz w:val="18"/>
        </w:rPr>
        <w:t xml:space="preserve">          "type": "Point",</w:t>
      </w:r>
    </w:p>
    <w:p>
      <w:pPr>
        <w:shd w:val="clear" w:color="auto" w:fill="F2F2F2"/>
        <w:spacing w:before="0" w:after="0"/>
        <w:ind w:left="432"/>
      </w:pPr>
      <w:r>
        <w:rPr>
          <w:rFonts w:ascii="Courier New" w:hAnsi="Courier New"/>
          <w:sz w:val="18"/>
        </w:rPr>
        <w:t xml:space="preserve">          "coordinates": [73.8567, 19.9975]</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"distanceMeters": 50000</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w:t>
      </w:r>
    </w:p>
    <w:p/>
    <w:p>
      <w:pPr>
        <w:pStyle w:val="Heading2"/>
      </w:pPr>
      <w:r>
        <w:t>12.6 UC3 — Weather Forecast: on_discover</w:t>
      </w:r>
    </w:p>
    <w:p>
      <w:pPr>
        <w:shd w:val="clear" w:color="auto" w:fill="F2F2F2"/>
        <w:spacing w:before="0" w:after="0"/>
        <w:ind w:left="432"/>
      </w:pPr>
      <w:r>
        <w:rPr>
          <w:rFonts w:ascii="Courier New" w:hAnsi="Courier New"/>
          <w:sz w:val="18"/>
        </w:rPr>
        <w:t>{</w:t>
      </w:r>
    </w:p>
    <w:p>
      <w:pPr>
        <w:shd w:val="clear" w:color="auto" w:fill="F2F2F2"/>
        <w:spacing w:before="0" w:after="0"/>
        <w:ind w:left="432"/>
      </w:pPr>
      <w:r>
        <w:rPr>
          <w:rFonts w:ascii="Courier New" w:hAnsi="Courier New"/>
          <w:sz w:val="18"/>
        </w:rPr>
        <w:t xml:space="preserve">  "context": {</w:t>
      </w:r>
    </w:p>
    <w:p>
      <w:pPr>
        <w:shd w:val="clear" w:color="auto" w:fill="F2F2F2"/>
        <w:spacing w:before="0" w:after="0"/>
        <w:ind w:left="432"/>
      </w:pPr>
      <w:r>
        <w:rPr>
          <w:rFonts w:ascii="Courier New" w:hAnsi="Courier New"/>
          <w:sz w:val="18"/>
        </w:rPr>
        <w:t xml:space="preserve">    "domain": "advisory:agri",</w:t>
      </w:r>
    </w:p>
    <w:p>
      <w:pPr>
        <w:shd w:val="clear" w:color="auto" w:fill="F2F2F2"/>
        <w:spacing w:before="0" w:after="0"/>
        <w:ind w:left="432"/>
      </w:pPr>
      <w:r>
        <w:rPr>
          <w:rFonts w:ascii="Courier New" w:hAnsi="Courier New"/>
          <w:sz w:val="18"/>
        </w:rPr>
        <w:t xml:space="preserve">    "action": "on_discover",</w:t>
      </w:r>
    </w:p>
    <w:p>
      <w:pPr>
        <w:shd w:val="clear" w:color="auto" w:fill="F2F2F2"/>
        <w:spacing w:before="0" w:after="0"/>
        <w:ind w:left="432"/>
      </w:pPr>
      <w:r>
        <w:rPr>
          <w:rFonts w:ascii="Courier New" w:hAnsi="Courier New"/>
          <w:sz w:val="18"/>
        </w:rPr>
        <w:t xml:space="preserve">    "version": "2.0.0",</w:t>
      </w:r>
    </w:p>
    <w:p>
      <w:pPr>
        <w:shd w:val="clear" w:color="auto" w:fill="F2F2F2"/>
        <w:spacing w:before="0" w:after="0"/>
        <w:ind w:left="432"/>
      </w:pPr>
      <w:r>
        <w:rPr>
          <w:rFonts w:ascii="Courier New" w:hAnsi="Courier New"/>
          <w:sz w:val="18"/>
        </w:rPr>
        <w:t xml:space="preserve">    "bpp_id": "amicus-weather.example.io",</w:t>
      </w:r>
    </w:p>
    <w:p>
      <w:pPr>
        <w:shd w:val="clear" w:color="auto" w:fill="F2F2F2"/>
        <w:spacing w:before="0" w:after="0"/>
        <w:ind w:left="432"/>
      </w:pPr>
      <w:r>
        <w:rPr>
          <w:rFonts w:ascii="Courier New" w:hAnsi="Courier New"/>
          <w:sz w:val="18"/>
        </w:rPr>
        <w:t xml:space="preserve">    "transaction_id": "txn-uc3-001",</w:t>
      </w:r>
    </w:p>
    <w:p>
      <w:pPr>
        <w:shd w:val="clear" w:color="auto" w:fill="F2F2F2"/>
        <w:spacing w:before="0" w:after="0"/>
        <w:ind w:left="432"/>
      </w:pPr>
      <w:r>
        <w:rPr>
          <w:rFonts w:ascii="Courier New" w:hAnsi="Courier New"/>
          <w:sz w:val="18"/>
        </w:rPr>
        <w:t xml:space="preserve">    "message_id": "msg-uc3-002",</w:t>
      </w:r>
    </w:p>
    <w:p>
      <w:pPr>
        <w:shd w:val="clear" w:color="auto" w:fill="F2F2F2"/>
        <w:spacing w:before="0" w:after="0"/>
        <w:ind w:left="432"/>
      </w:pPr>
      <w:r>
        <w:rPr>
          <w:rFonts w:ascii="Courier New" w:hAnsi="Courier New"/>
          <w:sz w:val="18"/>
        </w:rPr>
        <w:t xml:space="preserve">    "timestamp": "2026-03-10T07:00:04Z"</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"message": {</w:t>
      </w:r>
    </w:p>
    <w:p>
      <w:pPr>
        <w:shd w:val="clear" w:color="auto" w:fill="F2F2F2"/>
        <w:spacing w:before="0" w:after="0"/>
        <w:ind w:left="432"/>
      </w:pPr>
      <w:r>
        <w:rPr>
          <w:rFonts w:ascii="Courier New" w:hAnsi="Courier New"/>
          <w:sz w:val="18"/>
        </w:rPr>
        <w:t xml:space="preserve">    "catalog": {</w:t>
      </w:r>
    </w:p>
    <w:p>
      <w:pPr>
        <w:shd w:val="clear" w:color="auto" w:fill="F2F2F2"/>
        <w:spacing w:before="0" w:after="0"/>
        <w:ind w:left="432"/>
      </w:pPr>
      <w:r>
        <w:rPr>
          <w:rFonts w:ascii="Courier New" w:hAnsi="Courier New"/>
          <w:sz w:val="18"/>
        </w:rPr>
        <w:t xml:space="preserve">      "providers": [{</w:t>
      </w:r>
    </w:p>
    <w:p>
      <w:pPr>
        <w:shd w:val="clear" w:color="auto" w:fill="F2F2F2"/>
        <w:spacing w:before="0" w:after="0"/>
        <w:ind w:left="432"/>
      </w:pPr>
      <w:r>
        <w:rPr>
          <w:rFonts w:ascii="Courier New" w:hAnsi="Courier New"/>
          <w:sz w:val="18"/>
        </w:rPr>
        <w:t xml:space="preserve">        "id": "amicus-agri",</w:t>
      </w:r>
    </w:p>
    <w:p>
      <w:pPr>
        <w:shd w:val="clear" w:color="auto" w:fill="F2F2F2"/>
        <w:spacing w:before="0" w:after="0"/>
        <w:ind w:left="432"/>
      </w:pPr>
      <w:r>
        <w:rPr>
          <w:rFonts w:ascii="Courier New" w:hAnsi="Courier New"/>
          <w:sz w:val="18"/>
        </w:rPr>
        <w:t xml:space="preserve">        "descriptor": {</w:t>
      </w:r>
    </w:p>
    <w:p>
      <w:pPr>
        <w:shd w:val="clear" w:color="auto" w:fill="F2F2F2"/>
        <w:spacing w:before="0" w:after="0"/>
        <w:ind w:left="432"/>
      </w:pPr>
      <w:r>
        <w:rPr>
          <w:rFonts w:ascii="Courier New" w:hAnsi="Courier New"/>
          <w:sz w:val="18"/>
        </w:rPr>
        <w:t xml:space="preserve">          "name": "Amicus Agri Services",</w:t>
      </w:r>
    </w:p>
    <w:p>
      <w:pPr>
        <w:shd w:val="clear" w:color="auto" w:fill="F2F2F2"/>
        <w:spacing w:before="0" w:after="0"/>
        <w:ind w:left="432"/>
      </w:pPr>
      <w:r>
        <w:rPr>
          <w:rFonts w:ascii="Courier New" w:hAnsi="Courier New"/>
          <w:sz w:val="18"/>
        </w:rPr>
        <w:t xml:space="preserve">          "images": [{ "url": "https://amicusagro.info/img/amicus_logo.jpg"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"categories": [{</w:t>
      </w:r>
    </w:p>
    <w:p>
      <w:pPr>
        <w:shd w:val="clear" w:color="auto" w:fill="F2F2F2"/>
        <w:spacing w:before="0" w:after="0"/>
        <w:ind w:left="432"/>
      </w:pPr>
      <w:r>
        <w:rPr>
          <w:rFonts w:ascii="Courier New" w:hAnsi="Courier New"/>
          <w:sz w:val="18"/>
        </w:rPr>
        <w:t xml:space="preserve">          "id": "cat-weather",</w:t>
      </w:r>
    </w:p>
    <w:p>
      <w:pPr>
        <w:shd w:val="clear" w:color="auto" w:fill="F2F2F2"/>
        <w:spacing w:before="0" w:after="0"/>
        <w:ind w:left="432"/>
      </w:pPr>
      <w:r>
        <w:rPr>
          <w:rFonts w:ascii="Courier New" w:hAnsi="Courier New"/>
          <w:sz w:val="18"/>
        </w:rPr>
        <w:t xml:space="preserve">          "descriptor": { "code": "Weather-Forecast", "name": "Weather Forecast"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"items": [{</w:t>
      </w:r>
    </w:p>
    <w:p>
      <w:pPr>
        <w:shd w:val="clear" w:color="auto" w:fill="F2F2F2"/>
        <w:spacing w:before="0" w:after="0"/>
        <w:ind w:left="432"/>
      </w:pPr>
      <w:r>
        <w:rPr>
          <w:rFonts w:ascii="Courier New" w:hAnsi="Courier New"/>
          <w:sz w:val="18"/>
        </w:rPr>
        <w:t xml:space="preserve">          "id": "wf-hyperlocal-14d",</w:t>
      </w:r>
    </w:p>
    <w:p>
      <w:pPr>
        <w:shd w:val="clear" w:color="auto" w:fill="F2F2F2"/>
        <w:spacing w:before="0" w:after="0"/>
        <w:ind w:left="432"/>
      </w:pPr>
      <w:r>
        <w:rPr>
          <w:rFonts w:ascii="Courier New" w:hAnsi="Courier New"/>
          <w:sz w:val="18"/>
        </w:rPr>
        <w:t xml:space="preserve">          "descriptor": {</w:t>
      </w:r>
    </w:p>
    <w:p>
      <w:pPr>
        <w:shd w:val="clear" w:color="auto" w:fill="F2F2F2"/>
        <w:spacing w:before="0" w:after="0"/>
        <w:ind w:left="432"/>
      </w:pPr>
      <w:r>
        <w:rPr>
          <w:rFonts w:ascii="Courier New" w:hAnsi="Courier New"/>
          <w:sz w:val="18"/>
        </w:rPr>
        <w:t xml:space="preserve">            "name": "14-Day Hyperlocal Weather Forecast",</w:t>
      </w:r>
    </w:p>
    <w:p>
      <w:pPr>
        <w:shd w:val="clear" w:color="auto" w:fill="F2F2F2"/>
        <w:spacing w:before="0" w:after="0"/>
        <w:ind w:left="432"/>
      </w:pPr>
      <w:r>
        <w:rPr>
          <w:rFonts w:ascii="Courier New" w:hAnsi="Courier New"/>
          <w:sz w:val="18"/>
        </w:rPr>
        <w:t xml:space="preserve">            "short_desc": "१४ दिवसांचा हवामान अंदाज - Nashik Region",</w:t>
      </w:r>
    </w:p>
    <w:p>
      <w:pPr>
        <w:shd w:val="clear" w:color="auto" w:fill="F2F2F2"/>
        <w:spacing w:before="0" w:after="0"/>
        <w:ind w:left="432"/>
      </w:pPr>
      <w:r>
        <w:rPr>
          <w:rFonts w:ascii="Courier New" w:hAnsi="Courier New"/>
          <w:sz w:val="18"/>
        </w:rPr>
        <w:t xml:space="preserve">            "long_desc": "Hyperlocal 14-day weather forecast for your farm location..."</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"category_ids": ["cat-weather"],</w:t>
      </w:r>
    </w:p>
    <w:p>
      <w:pPr>
        <w:shd w:val="clear" w:color="auto" w:fill="F2F2F2"/>
        <w:spacing w:before="0" w:after="0"/>
        <w:ind w:left="432"/>
      </w:pPr>
      <w:r>
        <w:rPr>
          <w:rFonts w:ascii="Courier New" w:hAnsi="Courier New"/>
          <w:sz w:val="18"/>
        </w:rPr>
        <w:t xml:space="preserve">          "itemAttributes": {</w:t>
      </w:r>
    </w:p>
    <w:p>
      <w:pPr>
        <w:shd w:val="clear" w:color="auto" w:fill="F2F2F2"/>
        <w:spacing w:before="0" w:after="0"/>
        <w:ind w:left="432"/>
      </w:pPr>
      <w:r>
        <w:rPr>
          <w:rFonts w:ascii="Courier New" w:hAnsi="Courier New"/>
          <w:sz w:val="18"/>
        </w:rPr>
        <w:t xml:space="preserve">            "forecastType": "WEATHER_FORECAST",</w:t>
      </w:r>
    </w:p>
    <w:p>
      <w:pPr>
        <w:shd w:val="clear" w:color="auto" w:fill="F2F2F2"/>
        <w:spacing w:before="0" w:after="0"/>
        <w:ind w:left="432"/>
      </w:pPr>
      <w:r>
        <w:rPr>
          <w:rFonts w:ascii="Courier New" w:hAnsi="Courier New"/>
          <w:sz w:val="18"/>
        </w:rPr>
        <w:t xml:space="preserve">            "forecastDurationDays": 14,</w:t>
      </w:r>
    </w:p>
    <w:p>
      <w:pPr>
        <w:shd w:val="clear" w:color="auto" w:fill="F2F2F2"/>
        <w:spacing w:before="0" w:after="0"/>
        <w:ind w:left="432"/>
      </w:pPr>
      <w:r>
        <w:rPr>
          <w:rFonts w:ascii="Courier New" w:hAnsi="Courier New"/>
          <w:sz w:val="18"/>
        </w:rPr>
        <w:t xml:space="preserve">            "forecastDurationISO": "P14D",</w:t>
      </w:r>
    </w:p>
    <w:p>
      <w:pPr>
        <w:shd w:val="clear" w:color="auto" w:fill="F2F2F2"/>
        <w:spacing w:before="0" w:after="0"/>
        <w:ind w:left="432"/>
      </w:pPr>
      <w:r>
        <w:rPr>
          <w:rFonts w:ascii="Courier New" w:hAnsi="Courier New"/>
          <w:sz w:val="18"/>
        </w:rPr>
        <w:t xml:space="preserve">            "forecastResolution": "HYPERLOCAL",</w:t>
      </w:r>
    </w:p>
    <w:p>
      <w:pPr>
        <w:shd w:val="clear" w:color="auto" w:fill="F2F2F2"/>
        <w:spacing w:before="0" w:after="0"/>
        <w:ind w:left="432"/>
      </w:pPr>
      <w:r>
        <w:rPr>
          <w:rFonts w:ascii="Courier New" w:hAnsi="Courier New"/>
          <w:sz w:val="18"/>
        </w:rPr>
        <w:t xml:space="preserve">            "weatherDataPoints": [</w:t>
      </w:r>
    </w:p>
    <w:p>
      <w:pPr>
        <w:shd w:val="clear" w:color="auto" w:fill="F2F2F2"/>
        <w:spacing w:before="0" w:after="0"/>
        <w:ind w:left="432"/>
      </w:pPr>
      <w:r>
        <w:rPr>
          <w:rFonts w:ascii="Courier New" w:hAnsi="Courier New"/>
          <w:sz w:val="18"/>
        </w:rPr>
        <w:t xml:space="preserve">              "TEMPERATURE_MIN", "TEMPERATURE_MAX", "PRECIPITATION",</w:t>
      </w:r>
    </w:p>
    <w:p>
      <w:pPr>
        <w:shd w:val="clear" w:color="auto" w:fill="F2F2F2"/>
        <w:spacing w:before="0" w:after="0"/>
        <w:ind w:left="432"/>
      </w:pPr>
      <w:r>
        <w:rPr>
          <w:rFonts w:ascii="Courier New" w:hAnsi="Courier New"/>
          <w:sz w:val="18"/>
        </w:rPr>
        <w:t xml:space="preserve">              "WIND_SPEED", "WIND_DIRECTION", "SOLAR_RADIATION", "ETO"</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"outputFormats": ["PDF", "IN_APP_DISPLAY"],</w:t>
      </w:r>
    </w:p>
    <w:p>
      <w:pPr>
        <w:shd w:val="clear" w:color="auto" w:fill="F2F2F2"/>
        <w:spacing w:before="0" w:after="0"/>
        <w:ind w:left="432"/>
      </w:pPr>
      <w:r>
        <w:rPr>
          <w:rFonts w:ascii="Courier New" w:hAnsi="Courier New"/>
          <w:sz w:val="18"/>
        </w:rPr>
        <w:t xml:space="preserve">            "coverageAreaCodes":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"@context": "https://lgdirectory.gov.in",</w:t>
      </w:r>
    </w:p>
    <w:p>
      <w:pPr>
        <w:shd w:val="clear" w:color="auto" w:fill="F2F2F2"/>
        <w:spacing w:before="0" w:after="0"/>
        <w:ind w:left="432"/>
      </w:pPr>
      <w:r>
        <w:rPr>
          <w:rFonts w:ascii="Courier New" w:hAnsi="Courier New"/>
          <w:sz w:val="18"/>
        </w:rPr>
        <w:t xml:space="preserve">                "@type": "LGDDistrict",</w:t>
      </w:r>
    </w:p>
    <w:p>
      <w:pPr>
        <w:shd w:val="clear" w:color="auto" w:fill="F2F2F2"/>
        <w:spacing w:before="0" w:after="0"/>
        <w:ind w:left="432"/>
      </w:pPr>
      <w:r>
        <w:rPr>
          <w:rFonts w:ascii="Courier New" w:hAnsi="Courier New"/>
          <w:sz w:val="18"/>
        </w:rPr>
        <w:t xml:space="preserve">                "code": "507"</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"modelSource": "IMD-NCMRWF",</w:t>
      </w:r>
    </w:p>
    <w:p>
      <w:pPr>
        <w:shd w:val="clear" w:color="auto" w:fill="F2F2F2"/>
        <w:spacing w:before="0" w:after="0"/>
        <w:ind w:left="432"/>
      </w:pPr>
      <w:r>
        <w:rPr>
          <w:rFonts w:ascii="Courier New" w:hAnsi="Courier New"/>
          <w:sz w:val="18"/>
        </w:rPr>
        <w:t xml:space="preserve">            "updateFrequency": "PT24H",</w:t>
      </w:r>
    </w:p>
    <w:p>
      <w:pPr>
        <w:shd w:val="clear" w:color="auto" w:fill="F2F2F2"/>
        <w:spacing w:before="0" w:after="0"/>
        <w:ind w:left="432"/>
      </w:pPr>
      <w:r>
        <w:rPr>
          <w:rFonts w:ascii="Courier New" w:hAnsi="Courier New"/>
          <w:sz w:val="18"/>
        </w:rPr>
        <w:t xml:space="preserve">            "providerLicense": "PROPRIETARY",</w:t>
      </w:r>
    </w:p>
    <w:p>
      <w:pPr>
        <w:shd w:val="clear" w:color="auto" w:fill="F2F2F2"/>
        <w:spacing w:before="0" w:after="0"/>
        <w:ind w:left="432"/>
      </w:pPr>
      <w:r>
        <w:rPr>
          <w:rFonts w:ascii="Courier New" w:hAnsi="Courier New"/>
          <w:sz w:val="18"/>
        </w:rPr>
        <w:t xml:space="preserve">            "accreditedBy": "IMD"</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"offers": [{</w:t>
      </w:r>
    </w:p>
    <w:p>
      <w:pPr>
        <w:shd w:val="clear" w:color="auto" w:fill="F2F2F2"/>
        <w:spacing w:before="0" w:after="0"/>
        <w:ind w:left="432"/>
      </w:pPr>
      <w:r>
        <w:rPr>
          <w:rFonts w:ascii="Courier New" w:hAnsi="Courier New"/>
          <w:sz w:val="18"/>
        </w:rPr>
        <w:t xml:space="preserve">            "id": "offer-weather-001",</w:t>
      </w:r>
    </w:p>
    <w:p>
      <w:pPr>
        <w:shd w:val="clear" w:color="auto" w:fill="F2F2F2"/>
        <w:spacing w:before="0" w:after="0"/>
        <w:ind w:left="432"/>
      </w:pPr>
      <w:r>
        <w:rPr>
          <w:rFonts w:ascii="Courier New" w:hAnsi="Courier New"/>
          <w:sz w:val="18"/>
        </w:rPr>
        <w:t xml:space="preserve">            "price": { "currency": "INR", "value": "30" },</w:t>
      </w:r>
    </w:p>
    <w:p>
      <w:pPr>
        <w:shd w:val="clear" w:color="auto" w:fill="F2F2F2"/>
        <w:spacing w:before="0" w:after="0"/>
        <w:ind w:left="432"/>
      </w:pPr>
      <w:r>
        <w:rPr>
          <w:rFonts w:ascii="Courier New" w:hAnsi="Courier New"/>
          <w:sz w:val="18"/>
        </w:rPr>
        <w:t xml:space="preserve">            "offerAttributes": {</w:t>
      </w:r>
    </w:p>
    <w:p>
      <w:pPr>
        <w:shd w:val="clear" w:color="auto" w:fill="F2F2F2"/>
        <w:spacing w:before="0" w:after="0"/>
        <w:ind w:left="432"/>
      </w:pPr>
      <w:r>
        <w:rPr>
          <w:rFonts w:ascii="Courier New" w:hAnsi="Courier New"/>
          <w:sz w:val="18"/>
        </w:rPr>
        <w:t xml:space="preserve">              "pricingModel": "PAID",</w:t>
      </w:r>
    </w:p>
    <w:p>
      <w:pPr>
        <w:shd w:val="clear" w:color="auto" w:fill="F2F2F2"/>
        <w:spacing w:before="0" w:after="0"/>
        <w:ind w:left="432"/>
      </w:pPr>
      <w:r>
        <w:rPr>
          <w:rFonts w:ascii="Courier New" w:hAnsi="Courier New"/>
          <w:sz w:val="18"/>
        </w:rPr>
        <w:t xml:space="preserve">              "accessType": "ONE_TIME_PURCHASE",</w:t>
      </w:r>
    </w:p>
    <w:p>
      <w:pPr>
        <w:shd w:val="clear" w:color="auto" w:fill="F2F2F2"/>
        <w:spacing w:before="0" w:after="0"/>
        <w:ind w:left="432"/>
      </w:pPr>
      <w:r>
        <w:rPr>
          <w:rFonts w:ascii="Courier New" w:hAnsi="Courier New"/>
          <w:sz w:val="18"/>
        </w:rPr>
        <w:t xml:space="preserve">              "contentLicense": "ALL_RIGHTS_RESERVED",</w:t>
      </w:r>
    </w:p>
    <w:p>
      <w:pPr>
        <w:shd w:val="clear" w:color="auto" w:fill="F2F2F2"/>
        <w:spacing w:before="0" w:after="0"/>
        <w:ind w:left="432"/>
      </w:pPr>
      <w:r>
        <w:rPr>
          <w:rFonts w:ascii="Courier New" w:hAnsi="Courier New"/>
          <w:sz w:val="18"/>
        </w:rPr>
        <w:t xml:space="preserve">              "accessValidityPeriod": { "durationISO": "P30D" },</w:t>
      </w:r>
    </w:p>
    <w:p>
      <w:pPr>
        <w:shd w:val="clear" w:color="auto" w:fill="F2F2F2"/>
        <w:spacing w:before="0" w:after="0"/>
        <w:ind w:left="432"/>
      </w:pPr>
      <w:r>
        <w:rPr>
          <w:rFonts w:ascii="Courier New" w:hAnsi="Courier New"/>
          <w:sz w:val="18"/>
        </w:rPr>
        <w:t xml:space="preserve">              "cancellationPolicy": {</w:t>
      </w:r>
    </w:p>
    <w:p>
      <w:pPr>
        <w:shd w:val="clear" w:color="auto" w:fill="F2F2F2"/>
        <w:spacing w:before="0" w:after="0"/>
        <w:ind w:left="432"/>
      </w:pPr>
      <w:r>
        <w:rPr>
          <w:rFonts w:ascii="Courier New" w:hAnsi="Courier New"/>
          <w:sz w:val="18"/>
        </w:rPr>
        <w:t xml:space="preserve">                "isRefundable": true,</w:t>
      </w:r>
    </w:p>
    <w:p>
      <w:pPr>
        <w:shd w:val="clear" w:color="auto" w:fill="F2F2F2"/>
        <w:spacing w:before="0" w:after="0"/>
        <w:ind w:left="432"/>
      </w:pPr>
      <w:r>
        <w:rPr>
          <w:rFonts w:ascii="Courier New" w:hAnsi="Courier New"/>
          <w:sz w:val="18"/>
        </w:rPr>
        <w:t xml:space="preserve">                "refundWindowHours": 2,</w:t>
      </w:r>
    </w:p>
    <w:p>
      <w:pPr>
        <w:shd w:val="clear" w:color="auto" w:fill="F2F2F2"/>
        <w:spacing w:before="0" w:after="0"/>
        <w:ind w:left="432"/>
      </w:pPr>
      <w:r>
        <w:rPr>
          <w:rFonts w:ascii="Courier New" w:hAnsi="Courier New"/>
          <w:sz w:val="18"/>
        </w:rPr>
        <w:t xml:space="preserve">                "refundPercentage": 100,</w:t>
      </w:r>
    </w:p>
    <w:p>
      <w:pPr>
        <w:shd w:val="clear" w:color="auto" w:fill="F2F2F2"/>
        <w:spacing w:before="0" w:after="0"/>
        <w:ind w:left="432"/>
      </w:pPr>
      <w:r>
        <w:rPr>
          <w:rFonts w:ascii="Courier New" w:hAnsi="Courier New"/>
          <w:sz w:val="18"/>
        </w:rPr>
        <w:t xml:space="preserve">                "cancellationReasons": ["CONTENT_NOT_DELIVERED", "TECHNICAL_ISSUE"]</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"fulfillments": [{</w:t>
      </w:r>
    </w:p>
    <w:p>
      <w:pPr>
        <w:shd w:val="clear" w:color="auto" w:fill="F2F2F2"/>
        <w:spacing w:before="0" w:after="0"/>
        <w:ind w:left="432"/>
      </w:pPr>
      <w:r>
        <w:rPr>
          <w:rFonts w:ascii="Courier New" w:hAnsi="Courier New"/>
          <w:sz w:val="18"/>
        </w:rPr>
        <w:t xml:space="preserve">            "id": "f-weather-001",</w:t>
      </w:r>
    </w:p>
    <w:p>
      <w:pPr>
        <w:shd w:val="clear" w:color="auto" w:fill="F2F2F2"/>
        <w:spacing w:before="0" w:after="0"/>
        <w:ind w:left="432"/>
      </w:pPr>
      <w:r>
        <w:rPr>
          <w:rFonts w:ascii="Courier New" w:hAnsi="Courier New"/>
          <w:sz w:val="18"/>
        </w:rPr>
        <w:t xml:space="preserve">            "fulfillmentAttributes": {</w:t>
      </w:r>
    </w:p>
    <w:p>
      <w:pPr>
        <w:shd w:val="clear" w:color="auto" w:fill="F2F2F2"/>
        <w:spacing w:before="0" w:after="0"/>
        <w:ind w:left="432"/>
      </w:pPr>
      <w:r>
        <w:rPr>
          <w:rFonts w:ascii="Courier New" w:hAnsi="Courier New"/>
          <w:sz w:val="18"/>
        </w:rPr>
        <w:t xml:space="preserve">              "deliveryMode": "PDF_DOWNLOAD",</w:t>
      </w:r>
    </w:p>
    <w:p>
      <w:pPr>
        <w:shd w:val="clear" w:color="auto" w:fill="F2F2F2"/>
        <w:spacing w:before="0" w:after="0"/>
        <w:ind w:left="432"/>
      </w:pPr>
      <w:r>
        <w:rPr>
          <w:rFonts w:ascii="Courier New" w:hAnsi="Courier New"/>
          <w:sz w:val="18"/>
        </w:rPr>
        <w:t xml:space="preserve">              "targetLocation": {</w:t>
      </w:r>
    </w:p>
    <w:p>
      <w:pPr>
        <w:shd w:val="clear" w:color="auto" w:fill="F2F2F2"/>
        <w:spacing w:before="0" w:after="0"/>
        <w:ind w:left="432"/>
      </w:pPr>
      <w:r>
        <w:rPr>
          <w:rFonts w:ascii="Courier New" w:hAnsi="Courier New"/>
          <w:sz w:val="18"/>
        </w:rPr>
        <w:t xml:space="preserve">                "type": "Point",</w:t>
      </w:r>
    </w:p>
    <w:p>
      <w:pPr>
        <w:shd w:val="clear" w:color="auto" w:fill="F2F2F2"/>
        <w:spacing w:before="0" w:after="0"/>
        <w:ind w:left="432"/>
      </w:pPr>
      <w:r>
        <w:rPr>
          <w:rFonts w:ascii="Courier New" w:hAnsi="Courier New"/>
          <w:sz w:val="18"/>
        </w:rPr>
        <w:t xml:space="preserve">                "coordinates": [73.8567, 19.9975]</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w:t>
      </w:r>
    </w:p>
    <w:p/>
    <w:p>
      <w:pPr>
        <w:pStyle w:val="Heading2"/>
      </w:pPr>
      <w:r>
        <w:t>12.7 UC3 — Weather Forecast: status (post-payment fulfillment)</w:t>
      </w:r>
    </w:p>
    <w:p>
      <w:pPr>
        <w:shd w:val="clear" w:color="auto" w:fill="F2F2F2"/>
        <w:spacing w:before="0" w:after="0"/>
        <w:ind w:left="432"/>
      </w:pPr>
      <w:r>
        <w:rPr>
          <w:rFonts w:ascii="Courier New" w:hAnsi="Courier New"/>
          <w:sz w:val="18"/>
        </w:rPr>
        <w:t>{</w:t>
      </w:r>
    </w:p>
    <w:p>
      <w:pPr>
        <w:shd w:val="clear" w:color="auto" w:fill="F2F2F2"/>
        <w:spacing w:before="0" w:after="0"/>
        <w:ind w:left="432"/>
      </w:pPr>
      <w:r>
        <w:rPr>
          <w:rFonts w:ascii="Courier New" w:hAnsi="Courier New"/>
          <w:sz w:val="18"/>
        </w:rPr>
        <w:t xml:space="preserve">  "context": {</w:t>
      </w:r>
    </w:p>
    <w:p>
      <w:pPr>
        <w:shd w:val="clear" w:color="auto" w:fill="F2F2F2"/>
        <w:spacing w:before="0" w:after="0"/>
        <w:ind w:left="432"/>
      </w:pPr>
      <w:r>
        <w:rPr>
          <w:rFonts w:ascii="Courier New" w:hAnsi="Courier New"/>
          <w:sz w:val="18"/>
        </w:rPr>
        <w:t xml:space="preserve">    "domain": "advisory:agri",</w:t>
      </w:r>
    </w:p>
    <w:p>
      <w:pPr>
        <w:shd w:val="clear" w:color="auto" w:fill="F2F2F2"/>
        <w:spacing w:before="0" w:after="0"/>
        <w:ind w:left="432"/>
      </w:pPr>
      <w:r>
        <w:rPr>
          <w:rFonts w:ascii="Courier New" w:hAnsi="Courier New"/>
          <w:sz w:val="18"/>
        </w:rPr>
        <w:t xml:space="preserve">    "action": "on_status",</w:t>
      </w:r>
    </w:p>
    <w:p>
      <w:pPr>
        <w:shd w:val="clear" w:color="auto" w:fill="F2F2F2"/>
        <w:spacing w:before="0" w:after="0"/>
        <w:ind w:left="432"/>
      </w:pPr>
      <w:r>
        <w:rPr>
          <w:rFonts w:ascii="Courier New" w:hAnsi="Courier New"/>
          <w:sz w:val="18"/>
        </w:rPr>
        <w:t xml:space="preserve">    "version": "2.0.0",</w:t>
      </w:r>
    </w:p>
    <w:p>
      <w:pPr>
        <w:shd w:val="clear" w:color="auto" w:fill="F2F2F2"/>
        <w:spacing w:before="0" w:after="0"/>
        <w:ind w:left="432"/>
      </w:pPr>
      <w:r>
        <w:rPr>
          <w:rFonts w:ascii="Courier New" w:hAnsi="Courier New"/>
          <w:sz w:val="18"/>
        </w:rPr>
        <w:t xml:space="preserve">    "bpp_id": "amicus-weather.example.io",</w:t>
      </w:r>
    </w:p>
    <w:p>
      <w:pPr>
        <w:shd w:val="clear" w:color="auto" w:fill="F2F2F2"/>
        <w:spacing w:before="0" w:after="0"/>
        <w:ind w:left="432"/>
      </w:pPr>
      <w:r>
        <w:rPr>
          <w:rFonts w:ascii="Courier New" w:hAnsi="Courier New"/>
          <w:sz w:val="18"/>
        </w:rPr>
        <w:t xml:space="preserve">    "transaction_id": "txn-uc3-001",</w:t>
      </w:r>
    </w:p>
    <w:p>
      <w:pPr>
        <w:shd w:val="clear" w:color="auto" w:fill="F2F2F2"/>
        <w:spacing w:before="0" w:after="0"/>
        <w:ind w:left="432"/>
      </w:pPr>
      <w:r>
        <w:rPr>
          <w:rFonts w:ascii="Courier New" w:hAnsi="Courier New"/>
          <w:sz w:val="18"/>
        </w:rPr>
        <w:t xml:space="preserve">    "message_id": "msg-uc3-010",</w:t>
      </w:r>
    </w:p>
    <w:p>
      <w:pPr>
        <w:shd w:val="clear" w:color="auto" w:fill="F2F2F2"/>
        <w:spacing w:before="0" w:after="0"/>
        <w:ind w:left="432"/>
      </w:pPr>
      <w:r>
        <w:rPr>
          <w:rFonts w:ascii="Courier New" w:hAnsi="Courier New"/>
          <w:sz w:val="18"/>
        </w:rPr>
        <w:t xml:space="preserve">    "timestamp": "2026-03-10T07:15:00Z"</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"message": {</w:t>
      </w:r>
    </w:p>
    <w:p>
      <w:pPr>
        <w:shd w:val="clear" w:color="auto" w:fill="F2F2F2"/>
        <w:spacing w:before="0" w:after="0"/>
        <w:ind w:left="432"/>
      </w:pPr>
      <w:r>
        <w:rPr>
          <w:rFonts w:ascii="Courier New" w:hAnsi="Courier New"/>
          <w:sz w:val="18"/>
        </w:rPr>
        <w:t xml:space="preserve">    "order": {</w:t>
      </w:r>
    </w:p>
    <w:p>
      <w:pPr>
        <w:shd w:val="clear" w:color="auto" w:fill="F2F2F2"/>
        <w:spacing w:before="0" w:after="0"/>
        <w:ind w:left="432"/>
      </w:pPr>
      <w:r>
        <w:rPr>
          <w:rFonts w:ascii="Courier New" w:hAnsi="Courier New"/>
          <w:sz w:val="18"/>
        </w:rPr>
        <w:t xml:space="preserve">      "id": "order-uc3-001",</w:t>
      </w:r>
    </w:p>
    <w:p>
      <w:pPr>
        <w:shd w:val="clear" w:color="auto" w:fill="F2F2F2"/>
        <w:spacing w:before="0" w:after="0"/>
        <w:ind w:left="432"/>
      </w:pPr>
      <w:r>
        <w:rPr>
          <w:rFonts w:ascii="Courier New" w:hAnsi="Courier New"/>
          <w:sz w:val="18"/>
        </w:rPr>
        <w:t xml:space="preserve">      "status": "FULFILLED",</w:t>
      </w:r>
    </w:p>
    <w:p>
      <w:pPr>
        <w:shd w:val="clear" w:color="auto" w:fill="F2F2F2"/>
        <w:spacing w:before="0" w:after="0"/>
        <w:ind w:left="432"/>
      </w:pPr>
      <w:r>
        <w:rPr>
          <w:rFonts w:ascii="Courier New" w:hAnsi="Courier New"/>
          <w:sz w:val="18"/>
        </w:rPr>
        <w:t xml:space="preserve">      "fulfillments": [{</w:t>
      </w:r>
    </w:p>
    <w:p>
      <w:pPr>
        <w:shd w:val="clear" w:color="auto" w:fill="F2F2F2"/>
        <w:spacing w:before="0" w:after="0"/>
        <w:ind w:left="432"/>
      </w:pPr>
      <w:r>
        <w:rPr>
          <w:rFonts w:ascii="Courier New" w:hAnsi="Courier New"/>
          <w:sz w:val="18"/>
        </w:rPr>
        <w:t xml:space="preserve">        "id": "f-weather-001",</w:t>
      </w:r>
    </w:p>
    <w:p>
      <w:pPr>
        <w:shd w:val="clear" w:color="auto" w:fill="F2F2F2"/>
        <w:spacing w:before="0" w:after="0"/>
        <w:ind w:left="432"/>
      </w:pPr>
      <w:r>
        <w:rPr>
          <w:rFonts w:ascii="Courier New" w:hAnsi="Courier New"/>
          <w:sz w:val="18"/>
        </w:rPr>
        <w:t xml:space="preserve">        "state": { "descriptor": { "code": "FULFILLED" } },</w:t>
      </w:r>
    </w:p>
    <w:p>
      <w:pPr>
        <w:shd w:val="clear" w:color="auto" w:fill="F2F2F2"/>
        <w:spacing w:before="0" w:after="0"/>
        <w:ind w:left="432"/>
      </w:pPr>
      <w:r>
        <w:rPr>
          <w:rFonts w:ascii="Courier New" w:hAnsi="Courier New"/>
          <w:sz w:val="18"/>
        </w:rPr>
        <w:t xml:space="preserve">        "fulfillmentAttributes": {</w:t>
      </w:r>
    </w:p>
    <w:p>
      <w:pPr>
        <w:shd w:val="clear" w:color="auto" w:fill="F2F2F2"/>
        <w:spacing w:before="0" w:after="0"/>
        <w:ind w:left="432"/>
      </w:pPr>
      <w:r>
        <w:rPr>
          <w:rFonts w:ascii="Courier New" w:hAnsi="Courier New"/>
          <w:sz w:val="18"/>
        </w:rPr>
        <w:t xml:space="preserve">          "deliveryMode": "PDF_DOWNLOAD",</w:t>
      </w:r>
    </w:p>
    <w:p>
      <w:pPr>
        <w:shd w:val="clear" w:color="auto" w:fill="F2F2F2"/>
        <w:spacing w:before="0" w:after="0"/>
        <w:ind w:left="432"/>
      </w:pPr>
      <w:r>
        <w:rPr>
          <w:rFonts w:ascii="Courier New" w:hAnsi="Courier New"/>
          <w:sz w:val="18"/>
        </w:rPr>
        <w:t xml:space="preserve">          "contentAccessUrl": "https://amicusagro.info/forecasts/order-uc3-001/report.pdf",</w:t>
      </w:r>
    </w:p>
    <w:p>
      <w:pPr>
        <w:shd w:val="clear" w:color="auto" w:fill="F2F2F2"/>
        <w:spacing w:before="0" w:after="0"/>
        <w:ind w:left="432"/>
      </w:pPr>
      <w:r>
        <w:rPr>
          <w:rFonts w:ascii="Courier New" w:hAnsi="Courier New"/>
          <w:sz w:val="18"/>
        </w:rPr>
        <w:t xml:space="preserve">          "contentAccessExpiry": "2026-04-09T07:15:00Z",</w:t>
      </w:r>
    </w:p>
    <w:p>
      <w:pPr>
        <w:shd w:val="clear" w:color="auto" w:fill="F2F2F2"/>
        <w:spacing w:before="0" w:after="0"/>
        <w:ind w:left="432"/>
      </w:pPr>
      <w:r>
        <w:rPr>
          <w:rFonts w:ascii="Courier New" w:hAnsi="Courier New"/>
          <w:sz w:val="18"/>
        </w:rPr>
        <w:t xml:space="preserve">          "deliveryConfirmation": "AMC-DLV-2026-001234",</w:t>
      </w:r>
    </w:p>
    <w:p>
      <w:pPr>
        <w:shd w:val="clear" w:color="auto" w:fill="F2F2F2"/>
        <w:spacing w:before="0" w:after="0"/>
        <w:ind w:left="432"/>
      </w:pPr>
      <w:r>
        <w:rPr>
          <w:rFonts w:ascii="Courier New" w:hAnsi="Courier New"/>
          <w:sz w:val="18"/>
        </w:rPr>
        <w:t xml:space="preserve">          "targetLocation": {</w:t>
      </w:r>
    </w:p>
    <w:p>
      <w:pPr>
        <w:shd w:val="clear" w:color="auto" w:fill="F2F2F2"/>
        <w:spacing w:before="0" w:after="0"/>
        <w:ind w:left="432"/>
      </w:pPr>
      <w:r>
        <w:rPr>
          <w:rFonts w:ascii="Courier New" w:hAnsi="Courier New"/>
          <w:sz w:val="18"/>
        </w:rPr>
        <w:t xml:space="preserve">            "type": "Point",</w:t>
      </w:r>
    </w:p>
    <w:p>
      <w:pPr>
        <w:shd w:val="clear" w:color="auto" w:fill="F2F2F2"/>
        <w:spacing w:before="0" w:after="0"/>
        <w:ind w:left="432"/>
      </w:pPr>
      <w:r>
        <w:rPr>
          <w:rFonts w:ascii="Courier New" w:hAnsi="Courier New"/>
          <w:sz w:val="18"/>
        </w:rPr>
        <w:t xml:space="preserve">            "coordinates": [73.8567, 19.9975]</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 xml:space="preserve">  }</w:t>
      </w:r>
    </w:p>
    <w:p>
      <w:pPr>
        <w:shd w:val="clear" w:color="auto" w:fill="F2F2F2"/>
        <w:spacing w:before="0" w:after="0"/>
        <w:ind w:left="432"/>
      </w:pPr>
      <w:r>
        <w:rPr>
          <w:rFonts w:ascii="Courier New" w:hAnsi="Courier New"/>
          <w:sz w:val="18"/>
        </w:rPr>
        <w:t>}</w:t>
      </w:r>
    </w:p>
    <w:p/>
    <w:p>
      <w:r>
        <w:br w:type="page"/>
      </w:r>
    </w:p>
    <w:p>
      <w:pPr>
        <w:pStyle w:val="Heading1"/>
      </w:pPr>
      <w:r>
        <w:t>13. Appendix</w:t>
      </w:r>
    </w:p>
    <w:p>
      <w:pPr>
        <w:pStyle w:val="Heading2"/>
      </w:pPr>
      <w:r>
        <w:t>13.1 Glossary</w:t>
      </w:r>
    </w:p>
    <w:tbl>
      <w:tblPr>
        <w:tblStyle w:val="TableGrid"/>
        <w:tblW w:type="auto" w:w="0"/>
        <w:jc w:val="left"/>
        <w:tblLook w:firstColumn="1" w:firstRow="1" w:lastColumn="0" w:lastRow="0" w:noHBand="0" w:noVBand="1" w:val="04A0"/>
      </w:tblPr>
      <w:tblGrid>
        <w:gridCol w:w="4320"/>
        <w:gridCol w:w="4320"/>
      </w:tblGrid>
      <w:tr>
        <w:tc>
          <w:tcPr>
            <w:tcW w:type="dxa" w:w="1984"/>
            <w:shd w:val="clear" w:color="auto" w:fill="1F5C99"/>
          </w:tcPr>
          <w:p>
            <w:pPr>
              <w:jc w:val="center"/>
            </w:pPr>
            <w:r>
              <w:rPr>
                <w:rFonts w:ascii="Arial" w:hAnsi="Arial"/>
                <w:b/>
                <w:color w:val="FFFFFF"/>
                <w:sz w:val="20"/>
              </w:rPr>
              <w:t>Term</w:t>
            </w:r>
          </w:p>
        </w:tc>
        <w:tc>
          <w:tcPr>
            <w:tcW w:type="dxa" w:w="7937"/>
            <w:shd w:val="clear" w:color="auto" w:fill="1F5C99"/>
          </w:tcPr>
          <w:p>
            <w:pPr>
              <w:jc w:val="center"/>
            </w:pPr>
            <w:r>
              <w:rPr>
                <w:rFonts w:ascii="Arial" w:hAnsi="Arial"/>
                <w:b/>
                <w:color w:val="FFFFFF"/>
                <w:sz w:val="20"/>
              </w:rPr>
              <w:t>Definition</w:t>
            </w:r>
          </w:p>
        </w:tc>
      </w:tr>
      <w:tr>
        <w:tc>
          <w:tcPr>
            <w:tcW w:type="dxa" w:w="1984"/>
            <w:shd w:val="clear" w:color="auto" w:fill="EBF3FB"/>
          </w:tcPr>
          <w:p>
            <w:r>
              <w:rPr>
                <w:rFonts w:ascii="Arial" w:hAnsi="Arial"/>
                <w:sz w:val="20"/>
              </w:rPr>
              <w:t>AGMARKNET</w:t>
            </w:r>
          </w:p>
        </w:tc>
        <w:tc>
          <w:tcPr>
            <w:tcW w:type="dxa" w:w="7937"/>
            <w:shd w:val="clear" w:color="auto" w:fill="EBF3FB"/>
          </w:tcPr>
          <w:p>
            <w:r>
              <w:rPr>
                <w:rFonts w:ascii="Arial" w:hAnsi="Arial"/>
                <w:sz w:val="20"/>
              </w:rPr>
              <w:t>Agricultural Marketing Information Network — India's government portal for commodity price data from APMC mandis across states.</w:t>
            </w:r>
          </w:p>
        </w:tc>
      </w:tr>
      <w:tr>
        <w:tc>
          <w:tcPr>
            <w:tcW w:type="dxa" w:w="1984"/>
          </w:tcPr>
          <w:p>
            <w:r>
              <w:rPr>
                <w:rFonts w:ascii="Arial" w:hAnsi="Arial"/>
                <w:sz w:val="20"/>
              </w:rPr>
              <w:t>APMC</w:t>
            </w:r>
          </w:p>
        </w:tc>
        <w:tc>
          <w:tcPr>
            <w:tcW w:type="dxa" w:w="7937"/>
          </w:tcPr>
          <w:p>
            <w:r>
              <w:rPr>
                <w:rFonts w:ascii="Arial" w:hAnsi="Arial"/>
                <w:sz w:val="20"/>
              </w:rPr>
              <w:t>Agricultural Produce Market Committee — a state-regulated wholesale market (mandi) where farmers sell their produce.</w:t>
            </w:r>
          </w:p>
        </w:tc>
      </w:tr>
      <w:tr>
        <w:tc>
          <w:tcPr>
            <w:tcW w:type="dxa" w:w="1984"/>
            <w:shd w:val="clear" w:color="auto" w:fill="EBF3FB"/>
          </w:tcPr>
          <w:p>
            <w:r>
              <w:rPr>
                <w:rFonts w:ascii="Arial" w:hAnsi="Arial"/>
                <w:sz w:val="20"/>
              </w:rPr>
              <w:t>BAP</w:t>
            </w:r>
          </w:p>
        </w:tc>
        <w:tc>
          <w:tcPr>
            <w:tcW w:type="dxa" w:w="7937"/>
            <w:shd w:val="clear" w:color="auto" w:fill="EBF3FB"/>
          </w:tcPr>
          <w:p>
            <w:r>
              <w:rPr>
                <w:rFonts w:ascii="Arial" w:hAnsi="Arial"/>
                <w:sz w:val="20"/>
              </w:rPr>
              <w:t>Buyer App Platform — the seeker-side application in the Beckn network (farmer-facing app).</w:t>
            </w:r>
          </w:p>
        </w:tc>
      </w:tr>
      <w:tr>
        <w:tc>
          <w:tcPr>
            <w:tcW w:type="dxa" w:w="1984"/>
          </w:tcPr>
          <w:p>
            <w:r>
              <w:rPr>
                <w:rFonts w:ascii="Arial" w:hAnsi="Arial"/>
                <w:sz w:val="20"/>
              </w:rPr>
              <w:t>Beckn-ONIX</w:t>
            </w:r>
          </w:p>
        </w:tc>
        <w:tc>
          <w:tcPr>
            <w:tcW w:type="dxa" w:w="7937"/>
          </w:tcPr>
          <w:p>
            <w:r>
              <w:rPr>
                <w:rFonts w:ascii="Arial" w:hAnsi="Arial"/>
                <w:sz w:val="20"/>
              </w:rPr>
              <w:t>An enterprise-grade middleware adapter system designed to facilitate seamless communication in any Beckn-enabled network. Acts as a protocol adapter between BAPs (buyer applications) and BPPs (seller platforms), ensuring secure, validated, and compliant message exchange across Beckn networks.</w:t>
            </w:r>
          </w:p>
        </w:tc>
      </w:tr>
      <w:tr>
        <w:tc>
          <w:tcPr>
            <w:tcW w:type="dxa" w:w="1984"/>
            <w:shd w:val="clear" w:color="auto" w:fill="EBF3FB"/>
          </w:tcPr>
          <w:p>
            <w:r>
              <w:rPr>
                <w:rFonts w:ascii="Arial" w:hAnsi="Arial"/>
                <w:sz w:val="20"/>
              </w:rPr>
              <w:t>BPP</w:t>
            </w:r>
          </w:p>
        </w:tc>
        <w:tc>
          <w:tcPr>
            <w:tcW w:type="dxa" w:w="7937"/>
            <w:shd w:val="clear" w:color="auto" w:fill="EBF3FB"/>
          </w:tcPr>
          <w:p>
            <w:r>
              <w:rPr>
                <w:rFonts w:ascii="Arial" w:hAnsi="Arial"/>
                <w:sz w:val="20"/>
              </w:rPr>
              <w:t>Business Provider Platform — the provider-side application in the Beckn network (advisory/price/weather service).</w:t>
            </w:r>
          </w:p>
        </w:tc>
      </w:tr>
      <w:tr>
        <w:tc>
          <w:tcPr>
            <w:tcW w:type="dxa" w:w="1984"/>
          </w:tcPr>
          <w:p>
            <w:r>
              <w:rPr>
                <w:rFonts w:ascii="Arial" w:hAnsi="Arial"/>
                <w:sz w:val="20"/>
              </w:rPr>
              <w:t>e-NAM</w:t>
            </w:r>
          </w:p>
        </w:tc>
        <w:tc>
          <w:tcPr>
            <w:tcW w:type="dxa" w:w="7937"/>
          </w:tcPr>
          <w:p>
            <w:r>
              <w:rPr>
                <w:rFonts w:ascii="Arial" w:hAnsi="Arial"/>
                <w:sz w:val="20"/>
              </w:rPr>
              <w:t>Electronic National Agriculture Market — a pan-India electronic trading portal for agricultural commodities.</w:t>
            </w:r>
          </w:p>
        </w:tc>
      </w:tr>
      <w:tr>
        <w:tc>
          <w:tcPr>
            <w:tcW w:type="dxa" w:w="1984"/>
            <w:shd w:val="clear" w:color="auto" w:fill="EBF3FB"/>
          </w:tcPr>
          <w:p>
            <w:r>
              <w:rPr>
                <w:rFonts w:ascii="Arial" w:hAnsi="Arial"/>
                <w:sz w:val="20"/>
              </w:rPr>
              <w:t>ETO</w:t>
            </w:r>
          </w:p>
        </w:tc>
        <w:tc>
          <w:tcPr>
            <w:tcW w:type="dxa" w:w="7937"/>
            <w:shd w:val="clear" w:color="auto" w:fill="EBF3FB"/>
          </w:tcPr>
          <w:p>
            <w:r>
              <w:rPr>
                <w:rFonts w:ascii="Arial" w:hAnsi="Arial"/>
                <w:sz w:val="20"/>
              </w:rPr>
              <w:t>Evapotranspiration — a key weather data parameter indicating water requirement of crops.</w:t>
            </w:r>
          </w:p>
        </w:tc>
      </w:tr>
      <w:tr>
        <w:tc>
          <w:tcPr>
            <w:tcW w:type="dxa" w:w="1984"/>
          </w:tcPr>
          <w:p>
            <w:r>
              <w:rPr>
                <w:rFonts w:ascii="Arial" w:hAnsi="Arial"/>
                <w:sz w:val="20"/>
              </w:rPr>
              <w:t>FPO</w:t>
            </w:r>
          </w:p>
        </w:tc>
        <w:tc>
          <w:tcPr>
            <w:tcW w:type="dxa" w:w="7937"/>
          </w:tcPr>
          <w:p>
            <w:r>
              <w:rPr>
                <w:rFonts w:ascii="Arial" w:hAnsi="Arial"/>
                <w:sz w:val="20"/>
              </w:rPr>
              <w:t>Farmer Producer Organisation — a collective of farmers for market access and services.</w:t>
            </w:r>
          </w:p>
        </w:tc>
      </w:tr>
      <w:tr>
        <w:tc>
          <w:tcPr>
            <w:tcW w:type="dxa" w:w="1984"/>
            <w:shd w:val="clear" w:color="auto" w:fill="EBF3FB"/>
          </w:tcPr>
          <w:p>
            <w:r>
              <w:rPr>
                <w:rFonts w:ascii="Arial" w:hAnsi="Arial"/>
                <w:sz w:val="20"/>
              </w:rPr>
              <w:t>ICAR</w:t>
            </w:r>
          </w:p>
        </w:tc>
        <w:tc>
          <w:tcPr>
            <w:tcW w:type="dxa" w:w="7937"/>
            <w:shd w:val="clear" w:color="auto" w:fill="EBF3FB"/>
          </w:tcPr>
          <w:p>
            <w:r>
              <w:rPr>
                <w:rFonts w:ascii="Arial" w:hAnsi="Arial"/>
                <w:sz w:val="20"/>
              </w:rPr>
              <w:t>Indian Council of Agricultural Research — the apex research body for agriculture in India.</w:t>
            </w:r>
          </w:p>
        </w:tc>
      </w:tr>
      <w:tr>
        <w:tc>
          <w:tcPr>
            <w:tcW w:type="dxa" w:w="1984"/>
          </w:tcPr>
          <w:p>
            <w:r>
              <w:rPr>
                <w:rFonts w:ascii="Arial" w:hAnsi="Arial"/>
                <w:sz w:val="20"/>
              </w:rPr>
              <w:t>IMD</w:t>
            </w:r>
          </w:p>
        </w:tc>
        <w:tc>
          <w:tcPr>
            <w:tcW w:type="dxa" w:w="7937"/>
          </w:tcPr>
          <w:p>
            <w:r>
              <w:rPr>
                <w:rFonts w:ascii="Arial" w:hAnsi="Arial"/>
                <w:sz w:val="20"/>
              </w:rPr>
              <w:t>India Meteorological Department — the national weather service of India.</w:t>
            </w:r>
          </w:p>
        </w:tc>
      </w:tr>
      <w:tr>
        <w:tc>
          <w:tcPr>
            <w:tcW w:type="dxa" w:w="1984"/>
            <w:shd w:val="clear" w:color="auto" w:fill="EBF3FB"/>
          </w:tcPr>
          <w:p>
            <w:r>
              <w:rPr>
                <w:rFonts w:ascii="Arial" w:hAnsi="Arial"/>
                <w:sz w:val="20"/>
              </w:rPr>
              <w:t>ISO 639-1</w:t>
            </w:r>
          </w:p>
        </w:tc>
        <w:tc>
          <w:tcPr>
            <w:tcW w:type="dxa" w:w="7937"/>
            <w:shd w:val="clear" w:color="auto" w:fill="EBF3FB"/>
          </w:tcPr>
          <w:p>
            <w:r>
              <w:rPr>
                <w:rFonts w:ascii="Arial" w:hAnsi="Arial"/>
                <w:sz w:val="20"/>
              </w:rPr>
              <w:t>International standard for two-letter language codes (e.g., mr = Marathi, hi = Hindi, en = English).</w:t>
            </w:r>
          </w:p>
        </w:tc>
      </w:tr>
      <w:tr>
        <w:tc>
          <w:tcPr>
            <w:tcW w:type="dxa" w:w="1984"/>
          </w:tcPr>
          <w:p>
            <w:r>
              <w:rPr>
                <w:rFonts w:ascii="Arial" w:hAnsi="Arial"/>
                <w:sz w:val="20"/>
              </w:rPr>
              <w:t>ISO 8601</w:t>
            </w:r>
          </w:p>
        </w:tc>
        <w:tc>
          <w:tcPr>
            <w:tcW w:type="dxa" w:w="7937"/>
          </w:tcPr>
          <w:p>
            <w:r>
              <w:rPr>
                <w:rFonts w:ascii="Arial" w:hAnsi="Arial"/>
                <w:sz w:val="20"/>
              </w:rPr>
              <w:t>International standard for date/time formats and durations (e.g., P14D = 14 days, PT6H = 6 hours).</w:t>
            </w:r>
          </w:p>
        </w:tc>
      </w:tr>
      <w:tr>
        <w:tc>
          <w:tcPr>
            <w:tcW w:type="dxa" w:w="1984"/>
            <w:shd w:val="clear" w:color="auto" w:fill="EBF3FB"/>
          </w:tcPr>
          <w:p>
            <w:r>
              <w:rPr>
                <w:rFonts w:ascii="Arial" w:hAnsi="Arial"/>
                <w:sz w:val="20"/>
              </w:rPr>
              <w:t>KCC</w:t>
            </w:r>
          </w:p>
        </w:tc>
        <w:tc>
          <w:tcPr>
            <w:tcW w:type="dxa" w:w="7937"/>
            <w:shd w:val="clear" w:color="auto" w:fill="EBF3FB"/>
          </w:tcPr>
          <w:p>
            <w:r>
              <w:rPr>
                <w:rFonts w:ascii="Arial" w:hAnsi="Arial"/>
                <w:sz w:val="20"/>
              </w:rPr>
              <w:t>Kisan Call Centre — government-operated helpline for farmers providing advisory services.</w:t>
            </w:r>
          </w:p>
        </w:tc>
      </w:tr>
      <w:tr>
        <w:tc>
          <w:tcPr>
            <w:tcW w:type="dxa" w:w="1984"/>
          </w:tcPr>
          <w:p>
            <w:r>
              <w:rPr>
                <w:rFonts w:ascii="Arial" w:hAnsi="Arial"/>
                <w:sz w:val="20"/>
              </w:rPr>
              <w:t>LGD</w:t>
            </w:r>
          </w:p>
        </w:tc>
        <w:tc>
          <w:tcPr>
            <w:tcW w:type="dxa" w:w="7937"/>
          </w:tcPr>
          <w:p>
            <w:r>
              <w:rPr>
                <w:rFonts w:ascii="Arial" w:hAnsi="Arial"/>
                <w:sz w:val="20"/>
              </w:rPr>
              <w:t>Local Government Directory — the Government of India's authoritative registry of administrative unit codes (states, districts, sub-districts, villages). Maintained by MoRD. See https://lgdirectory.gov.in.</w:t>
            </w:r>
          </w:p>
        </w:tc>
      </w:tr>
      <w:tr>
        <w:tc>
          <w:tcPr>
            <w:tcW w:type="dxa" w:w="1984"/>
            <w:shd w:val="clear" w:color="auto" w:fill="EBF3FB"/>
          </w:tcPr>
          <w:p>
            <w:r>
              <w:rPr>
                <w:rFonts w:ascii="Arial" w:hAnsi="Arial"/>
                <w:sz w:val="20"/>
              </w:rPr>
              <w:t>Mandi</w:t>
            </w:r>
          </w:p>
        </w:tc>
        <w:tc>
          <w:tcPr>
            <w:tcW w:type="dxa" w:w="7937"/>
            <w:shd w:val="clear" w:color="auto" w:fill="EBF3FB"/>
          </w:tcPr>
          <w:p>
            <w:r>
              <w:rPr>
                <w:rFonts w:ascii="Arial" w:hAnsi="Arial"/>
                <w:sz w:val="20"/>
              </w:rPr>
              <w:t>A wholesale agricultural market (same as APMC market) where farmers sell produce.</w:t>
            </w:r>
          </w:p>
        </w:tc>
      </w:tr>
      <w:tr>
        <w:tc>
          <w:tcPr>
            <w:tcW w:type="dxa" w:w="1984"/>
          </w:tcPr>
          <w:p>
            <w:r>
              <w:rPr>
                <w:rFonts w:ascii="Arial" w:hAnsi="Arial"/>
                <w:sz w:val="20"/>
              </w:rPr>
              <w:t>UAI</w:t>
            </w:r>
          </w:p>
        </w:tc>
        <w:tc>
          <w:tcPr>
            <w:tcW w:type="dxa" w:w="7937"/>
          </w:tcPr>
          <w:p>
            <w:r>
              <w:rPr>
                <w:rFonts w:ascii="Arial" w:hAnsi="Arial"/>
                <w:sz w:val="20"/>
              </w:rPr>
              <w:t>Unified Agriculture Interface — the Beckn network for agricultural advisory, price, and weather services.</w:t>
            </w:r>
          </w:p>
        </w:tc>
      </w:tr>
      <w:tr>
        <w:tc>
          <w:tcPr>
            <w:tcW w:type="dxa" w:w="1984"/>
            <w:shd w:val="clear" w:color="auto" w:fill="EBF3FB"/>
          </w:tcPr>
          <w:p>
            <w:r>
              <w:rPr>
                <w:rFonts w:ascii="Arial" w:hAnsi="Arial"/>
                <w:sz w:val="20"/>
              </w:rPr>
              <w:t>UPI</w:t>
            </w:r>
          </w:p>
        </w:tc>
        <w:tc>
          <w:tcPr>
            <w:tcW w:type="dxa" w:w="7937"/>
            <w:shd w:val="clear" w:color="auto" w:fill="EBF3FB"/>
          </w:tcPr>
          <w:p>
            <w:r>
              <w:rPr>
                <w:rFonts w:ascii="Arial" w:hAnsi="Arial"/>
                <w:sz w:val="20"/>
              </w:rPr>
              <w:t>Unified Payments Interface — India's real-time payment system used for digital transactions.</w:t>
            </w:r>
          </w:p>
        </w:tc>
      </w:tr>
    </w:tbl>
    <w:p/>
    <w:p>
      <w:pPr>
        <w:pStyle w:val="Heading2"/>
      </w:pPr>
      <w:r>
        <w:t>13.2 Upstream Candidate Sub-Schemas</w:t>
      </w:r>
    </w:p>
    <w:p>
      <w:r>
        <w:rPr>
          <w:rFonts w:ascii="Arial" w:hAnsi="Arial"/>
          <w:b w:val="0"/>
          <w:i w:val="0"/>
          <w:sz w:val="22"/>
        </w:rPr>
        <w:t>The following sub-schemas within the advisory:agri domain are sufficiently generic in structure and semantics to be candidates for promotion to the Beckn v2 core specification, or for reuse across multiple Beckn domain packs without modification: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268"/>
            <w:shd w:val="clear" w:color="auto" w:fill="1F5C99"/>
          </w:tcPr>
          <w:p>
            <w:pPr>
              <w:jc w:val="center"/>
            </w:pPr>
            <w:r>
              <w:rPr>
                <w:rFonts w:ascii="Arial" w:hAnsi="Arial"/>
                <w:b/>
                <w:color w:val="FFFFFF"/>
                <w:sz w:val="20"/>
              </w:rPr>
              <w:t>Sub-Schema</w:t>
            </w:r>
          </w:p>
        </w:tc>
        <w:tc>
          <w:tcPr>
            <w:tcW w:type="dxa" w:w="2268"/>
            <w:shd w:val="clear" w:color="auto" w:fill="1F5C99"/>
          </w:tcPr>
          <w:p>
            <w:pPr>
              <w:jc w:val="center"/>
            </w:pPr>
            <w:r>
              <w:rPr>
                <w:rFonts w:ascii="Arial" w:hAnsi="Arial"/>
                <w:b/>
                <w:color w:val="FFFFFF"/>
                <w:sz w:val="20"/>
              </w:rPr>
              <w:t>Currently In</w:t>
            </w:r>
          </w:p>
        </w:tc>
        <w:tc>
          <w:tcPr>
            <w:tcW w:type="dxa" w:w="1984"/>
            <w:shd w:val="clear" w:color="auto" w:fill="1F5C99"/>
          </w:tcPr>
          <w:p>
            <w:pPr>
              <w:jc w:val="center"/>
            </w:pPr>
            <w:r>
              <w:rPr>
                <w:rFonts w:ascii="Arial" w:hAnsi="Arial"/>
                <w:b/>
                <w:color w:val="FFFFFF"/>
                <w:sz w:val="20"/>
              </w:rPr>
              <w:t>Reuse Scope</w:t>
            </w:r>
          </w:p>
        </w:tc>
        <w:tc>
          <w:tcPr>
            <w:tcW w:type="dxa" w:w="3402"/>
            <w:shd w:val="clear" w:color="auto" w:fill="1F5C99"/>
          </w:tcPr>
          <w:p>
            <w:pPr>
              <w:jc w:val="center"/>
            </w:pPr>
            <w:r>
              <w:rPr>
                <w:rFonts w:ascii="Arial" w:hAnsi="Arial"/>
                <w:b/>
                <w:color w:val="FFFFFF"/>
                <w:sz w:val="20"/>
              </w:rPr>
              <w:t>Rationale</w:t>
            </w:r>
          </w:p>
        </w:tc>
      </w:tr>
      <w:tr>
        <w:tc>
          <w:tcPr>
            <w:tcW w:type="dxa" w:w="2268"/>
            <w:shd w:val="clear" w:color="auto" w:fill="EBF3FB"/>
          </w:tcPr>
          <w:p>
            <w:r>
              <w:rPr>
                <w:rFonts w:ascii="Arial" w:hAnsi="Arial"/>
                <w:sz w:val="20"/>
              </w:rPr>
              <w:t>CodedValue (@context + @type + code)</w:t>
            </w:r>
          </w:p>
        </w:tc>
        <w:tc>
          <w:tcPr>
            <w:tcW w:type="dxa" w:w="2268"/>
            <w:shd w:val="clear" w:color="auto" w:fill="EBF3FB"/>
          </w:tcPr>
          <w:p>
            <w:r>
              <w:rPr>
                <w:rFonts w:ascii="Arial" w:hAnsi="Arial"/>
                <w:sz w:val="20"/>
              </w:rPr>
              <w:t>agri-common/CodedValue/attributes.yaml — shared type definition</w:t>
            </w:r>
          </w:p>
        </w:tc>
        <w:tc>
          <w:tcPr>
            <w:tcW w:type="dxa" w:w="1984"/>
            <w:shd w:val="clear" w:color="auto" w:fill="EBF3FB"/>
          </w:tcPr>
          <w:p>
            <w:r>
              <w:rPr>
                <w:rFonts w:ascii="Arial" w:hAnsi="Arial"/>
                <w:sz w:val="20"/>
              </w:rPr>
              <w:t>Any Beckn v2 domain requiring typed external or controlled code references</w:t>
            </w:r>
          </w:p>
        </w:tc>
        <w:tc>
          <w:tcPr>
            <w:tcW w:type="dxa" w:w="3402"/>
            <w:shd w:val="clear" w:color="auto" w:fill="EBF3FB"/>
          </w:tcPr>
          <w:p>
            <w:r>
              <w:rPr>
                <w:rFonts w:ascii="Arial" w:hAnsi="Arial"/>
                <w:sz w:val="20"/>
              </w:rPr>
              <w:t>JSON-LD-aligned pattern for referencing codes from any authoritative system (administrative areas, classification systems, commodity codes, etc.) without enumerating external value sets in the schema. Equivalent to FHIR Coding type. See RFC-001-CodedValue-Pattern.md.</w:t>
            </w:r>
          </w:p>
        </w:tc>
      </w:tr>
      <w:tr>
        <w:tc>
          <w:tcPr>
            <w:tcW w:type="dxa" w:w="2268"/>
          </w:tcPr>
          <w:p>
            <w:r>
              <w:rPr>
                <w:rFonts w:ascii="Arial" w:hAnsi="Arial"/>
                <w:sz w:val="20"/>
              </w:rPr>
              <w:t>CancellationPolicy</w:t>
            </w:r>
          </w:p>
        </w:tc>
        <w:tc>
          <w:tcPr>
            <w:tcW w:type="dxa" w:w="2268"/>
          </w:tcPr>
          <w:p>
            <w:r>
              <w:rPr>
                <w:rFonts w:ascii="Arial" w:hAnsi="Arial"/>
                <w:sz w:val="20"/>
              </w:rPr>
              <w:t>AgriAdvisoryOfferAttributes</w:t>
            </w:r>
          </w:p>
        </w:tc>
        <w:tc>
          <w:tcPr>
            <w:tcW w:type="dxa" w:w="1984"/>
          </w:tcPr>
          <w:p>
            <w:r>
              <w:rPr>
                <w:rFonts w:ascii="Arial" w:hAnsi="Arial"/>
                <w:sz w:val="20"/>
              </w:rPr>
              <w:t>All paid digital content domains</w:t>
            </w:r>
          </w:p>
        </w:tc>
        <w:tc>
          <w:tcPr>
            <w:tcW w:type="dxa" w:w="3402"/>
          </w:tcPr>
          <w:p>
            <w:r>
              <w:rPr>
                <w:rFonts w:ascii="Arial" w:hAnsi="Arial"/>
                <w:sz w:val="20"/>
              </w:rPr>
              <w:t>Captures isRefundable, refundWindowHours, refundPercentage, cancellationReasons. Directly reusable by health, education, media, mobility domain offers.</w:t>
            </w:r>
          </w:p>
        </w:tc>
      </w:tr>
      <w:tr>
        <w:tc>
          <w:tcPr>
            <w:tcW w:type="dxa" w:w="2268"/>
            <w:shd w:val="clear" w:color="auto" w:fill="EBF3FB"/>
          </w:tcPr>
          <w:p>
            <w:r>
              <w:rPr>
                <w:rFonts w:ascii="Arial" w:hAnsi="Arial"/>
                <w:sz w:val="20"/>
              </w:rPr>
              <w:t>DigitalDelivery (contentAccessUrl, contentAccessExpiry, deliveryMode, deliveryConfirmation)</w:t>
            </w:r>
          </w:p>
        </w:tc>
        <w:tc>
          <w:tcPr>
            <w:tcW w:type="dxa" w:w="2268"/>
            <w:shd w:val="clear" w:color="auto" w:fill="EBF3FB"/>
          </w:tcPr>
          <w:p>
            <w:r>
              <w:rPr>
                <w:rFonts w:ascii="Arial" w:hAnsi="Arial"/>
                <w:sz w:val="20"/>
              </w:rPr>
              <w:t>AgriAdvisoryFulfillmentAttributes</w:t>
            </w:r>
          </w:p>
        </w:tc>
        <w:tc>
          <w:tcPr>
            <w:tcW w:type="dxa" w:w="1984"/>
            <w:shd w:val="clear" w:color="auto" w:fill="EBF3FB"/>
          </w:tcPr>
          <w:p>
            <w:r>
              <w:rPr>
                <w:rFonts w:ascii="Arial" w:hAnsi="Arial"/>
                <w:sz w:val="20"/>
              </w:rPr>
              <w:t>Any digital goods fulfillment domain</w:t>
            </w:r>
          </w:p>
        </w:tc>
        <w:tc>
          <w:tcPr>
            <w:tcW w:type="dxa" w:w="3402"/>
            <w:shd w:val="clear" w:color="auto" w:fill="EBF3FB"/>
          </w:tcPr>
          <w:p>
            <w:r>
              <w:rPr>
                <w:rFonts w:ascii="Arial" w:hAnsi="Arial"/>
                <w:sz w:val="20"/>
              </w:rPr>
              <w:t>Generic pattern for delivering digital content post-payment. Applicable to education, media, e-publishing, API entitlement, and software licensing domains.</w:t>
            </w:r>
          </w:p>
        </w:tc>
      </w:tr>
      <w:tr>
        <w:tc>
          <w:tcPr>
            <w:tcW w:type="dxa" w:w="2268"/>
          </w:tcPr>
          <w:p>
            <w:r>
              <w:rPr>
                <w:rFonts w:ascii="Arial" w:hAnsi="Arial"/>
                <w:sz w:val="20"/>
              </w:rPr>
              <w:t>AccessControl (accessType, accessValidityPeriod, contentLicense)</w:t>
            </w:r>
          </w:p>
        </w:tc>
        <w:tc>
          <w:tcPr>
            <w:tcW w:type="dxa" w:w="2268"/>
          </w:tcPr>
          <w:p>
            <w:r>
              <w:rPr>
                <w:rFonts w:ascii="Arial" w:hAnsi="Arial"/>
                <w:sz w:val="20"/>
              </w:rPr>
              <w:t>AgriAdvisoryOfferAttributes</w:t>
            </w:r>
          </w:p>
        </w:tc>
        <w:tc>
          <w:tcPr>
            <w:tcW w:type="dxa" w:w="1984"/>
          </w:tcPr>
          <w:p>
            <w:r>
              <w:rPr>
                <w:rFonts w:ascii="Arial" w:hAnsi="Arial"/>
                <w:sz w:val="20"/>
              </w:rPr>
              <w:t>Digital content and data platforms</w:t>
            </w:r>
          </w:p>
        </w:tc>
        <w:tc>
          <w:tcPr>
            <w:tcW w:type="dxa" w:w="3402"/>
          </w:tcPr>
          <w:p>
            <w:r>
              <w:rPr>
                <w:rFonts w:ascii="Arial" w:hAnsi="Arial"/>
                <w:sz w:val="20"/>
              </w:rPr>
              <w:t>Models open-access vs paid vs subscription access with license type. Reusable by health records, geospatial data, research datasets, and media streaming domains.</w:t>
            </w:r>
          </w:p>
        </w:tc>
      </w:tr>
      <w:tr>
        <w:tc>
          <w:tcPr>
            <w:tcW w:type="dxa" w:w="2268"/>
            <w:shd w:val="clear" w:color="auto" w:fill="EBF3FB"/>
          </w:tcPr>
          <w:p>
            <w:r>
              <w:rPr>
                <w:rFonts w:ascii="Arial" w:hAnsi="Arial"/>
                <w:sz w:val="20"/>
              </w:rPr>
              <w:t>PriceRange (minPrice, maxPrice, averagePrice, unitOfMeasure, currency)</w:t>
            </w:r>
          </w:p>
        </w:tc>
        <w:tc>
          <w:tcPr>
            <w:tcW w:type="dxa" w:w="2268"/>
            <w:shd w:val="clear" w:color="auto" w:fill="EBF3FB"/>
          </w:tcPr>
          <w:p>
            <w:r>
              <w:rPr>
                <w:rFonts w:ascii="Arial" w:hAnsi="Arial"/>
                <w:sz w:val="20"/>
              </w:rPr>
              <w:t>CommodityMarketOfferAttributes</w:t>
            </w:r>
          </w:p>
        </w:tc>
        <w:tc>
          <w:tcPr>
            <w:tcW w:type="dxa" w:w="1984"/>
            <w:shd w:val="clear" w:color="auto" w:fill="EBF3FB"/>
          </w:tcPr>
          <w:p>
            <w:r>
              <w:rPr>
                <w:rFonts w:ascii="Arial" w:hAnsi="Arial"/>
                <w:sz w:val="20"/>
              </w:rPr>
              <w:t>Commodity and financial product domains</w:t>
            </w:r>
          </w:p>
        </w:tc>
        <w:tc>
          <w:tcPr>
            <w:tcW w:type="dxa" w:w="3402"/>
            <w:shd w:val="clear" w:color="auto" w:fill="EBF3FB"/>
          </w:tcPr>
          <w:p>
            <w:r>
              <w:rPr>
                <w:rFonts w:ascii="Arial" w:hAnsi="Arial"/>
                <w:sz w:val="20"/>
              </w:rPr>
              <w:t>A standard price-range observation pattern applicable to energy markets, carbon credits, carbon offsets, fish markets, and other commodity exchanges.</w:t>
            </w:r>
          </w:p>
        </w:tc>
      </w:tr>
      <w:tr>
        <w:tc>
          <w:tcPr>
            <w:tcW w:type="dxa" w:w="2268"/>
          </w:tcPr>
          <w:p>
            <w:r>
              <w:rPr>
                <w:rFonts w:ascii="Arial" w:hAnsi="Arial"/>
                <w:sz w:val="20"/>
              </w:rPr>
              <w:t>SpatialQuery (targetLocation GeoJSON, targetRegionRadiusKm)</w:t>
            </w:r>
          </w:p>
        </w:tc>
        <w:tc>
          <w:tcPr>
            <w:tcW w:type="dxa" w:w="2268"/>
          </w:tcPr>
          <w:p>
            <w:r>
              <w:rPr>
                <w:rFonts w:ascii="Arial" w:hAnsi="Arial"/>
                <w:sz w:val="20"/>
              </w:rPr>
              <w:t>AgriAdvisoryFulfillmentAttributes</w:t>
            </w:r>
          </w:p>
        </w:tc>
        <w:tc>
          <w:tcPr>
            <w:tcW w:type="dxa" w:w="1984"/>
          </w:tcPr>
          <w:p>
            <w:r>
              <w:rPr>
                <w:rFonts w:ascii="Arial" w:hAnsi="Arial"/>
                <w:sz w:val="20"/>
              </w:rPr>
              <w:t>Any domain with geo-based discovery</w:t>
            </w:r>
          </w:p>
        </w:tc>
        <w:tc>
          <w:tcPr>
            <w:tcW w:type="dxa" w:w="3402"/>
          </w:tcPr>
          <w:p>
            <w:r>
              <w:rPr>
                <w:rFonts w:ascii="Arial" w:hAnsi="Arial"/>
                <w:sz w:val="20"/>
              </w:rPr>
              <w:t>Geographic scoping pattern for discovery and fulfillment. Reusable by mobility, logistics, hyperlocal retail, environmental monitoring, and field-service domains.</w:t>
            </w:r>
          </w:p>
        </w:tc>
      </w:tr>
      <w:tr>
        <w:tc>
          <w:tcPr>
            <w:tcW w:type="dxa" w:w="2268"/>
            <w:shd w:val="clear" w:color="auto" w:fill="EBF3FB"/>
          </w:tcPr>
          <w:p>
            <w:r>
              <w:rPr>
                <w:rFonts w:ascii="Arial" w:hAnsi="Arial"/>
                <w:sz w:val="20"/>
              </w:rPr>
              <w:t>CropContext (cropName, cropVariety, plantationDate, growthStage, soilType, irrigationType)</w:t>
            </w:r>
          </w:p>
        </w:tc>
        <w:tc>
          <w:tcPr>
            <w:tcW w:type="dxa" w:w="2268"/>
            <w:shd w:val="clear" w:color="auto" w:fill="EBF3FB"/>
          </w:tcPr>
          <w:p>
            <w:r>
              <w:rPr>
                <w:rFonts w:ascii="Arial" w:hAnsi="Arial"/>
                <w:sz w:val="20"/>
              </w:rPr>
              <w:t>CropAdvisoryItemAttributes</w:t>
            </w:r>
          </w:p>
        </w:tc>
        <w:tc>
          <w:tcPr>
            <w:tcW w:type="dxa" w:w="1984"/>
            <w:shd w:val="clear" w:color="auto" w:fill="EBF3FB"/>
          </w:tcPr>
          <w:p>
            <w:r>
              <w:rPr>
                <w:rFonts w:ascii="Arial" w:hAnsi="Arial"/>
                <w:sz w:val="20"/>
              </w:rPr>
              <w:t>Agriculture and agri-input domains</w:t>
            </w:r>
          </w:p>
        </w:tc>
        <w:tc>
          <w:tcPr>
            <w:tcW w:type="dxa" w:w="3402"/>
            <w:shd w:val="clear" w:color="auto" w:fill="EBF3FB"/>
          </w:tcPr>
          <w:p>
            <w:r>
              <w:rPr>
                <w:rFonts w:ascii="Arial" w:hAnsi="Arial"/>
                <w:sz w:val="20"/>
              </w:rPr>
              <w:t>A structured biological/agronomy context sub-schema reusable across agri-input marketplace, agri-insurance, and agri-finance domains operating in the Beckn agriculture vertical.</w:t>
            </w:r>
          </w:p>
        </w:tc>
      </w:tr>
    </w:tbl>
    <w:p/>
    <w:p>
      <w:pPr>
        <w:pStyle w:val="Heading2"/>
      </w:pPr>
      <w:r>
        <w:t>13.3 Non-Goals</w:t>
      </w:r>
    </w:p>
    <w:p>
      <w:r>
        <w:rPr>
          <w:rFonts w:ascii="Arial" w:hAnsi="Arial"/>
          <w:b w:val="0"/>
          <w:i w:val="0"/>
          <w:sz w:val="22"/>
        </w:rPr>
        <w:t>The following are explicitly out of scope for the advisory:agri domain:</w:t>
      </w:r>
    </w:p>
    <w:p>
      <w:pPr>
        <w:pStyle w:val="ListBullet"/>
        <w:ind w:left="360"/>
      </w:pPr>
      <w:r>
        <w:rPr>
          <w:rFonts w:ascii="Arial" w:hAnsi="Arial"/>
          <w:sz w:val="22"/>
        </w:rPr>
        <w:t>Physical logistics — no warehouse, vehicle, or delivery tracking</w:t>
      </w:r>
    </w:p>
    <w:p>
      <w:pPr>
        <w:pStyle w:val="ListBullet"/>
        <w:ind w:left="360"/>
      </w:pPr>
      <w:r>
        <w:rPr>
          <w:rFonts w:ascii="Arial" w:hAnsi="Arial"/>
          <w:sz w:val="22"/>
        </w:rPr>
        <w:t>Payment gateway integration — handled by core beckn:Payment (UPI, net banking, etc.)</w:t>
      </w:r>
    </w:p>
    <w:p>
      <w:pPr>
        <w:pStyle w:val="ListBullet"/>
        <w:ind w:left="360"/>
      </w:pPr>
      <w:r>
        <w:rPr>
          <w:rFonts w:ascii="Arial" w:hAnsi="Arial"/>
          <w:sz w:val="22"/>
        </w:rPr>
        <w:t>User profile or farm profile storage</w:t>
      </w:r>
    </w:p>
    <w:p>
      <w:pPr>
        <w:pStyle w:val="ListBullet"/>
        <w:ind w:left="360"/>
      </w:pPr>
      <w:r>
        <w:rPr>
          <w:rFonts w:ascii="Arial" w:hAnsi="Arial"/>
          <w:sz w:val="22"/>
        </w:rPr>
        <w:t>IoT sensor data feeds and real-time data streams (only packaged forecast products)</w:t>
      </w:r>
    </w:p>
    <w:p>
      <w:pPr>
        <w:pStyle w:val="ListBullet"/>
        <w:ind w:left="360"/>
      </w:pPr>
      <w:r>
        <w:rPr>
          <w:rFonts w:ascii="Arial" w:hAnsi="Arial"/>
          <w:sz w:val="22"/>
        </w:rPr>
        <w:t>Subsidy or government scheme eligibility (India-specific regulatory data)</w:t>
      </w:r>
    </w:p>
    <w:p>
      <w:pPr>
        <w:pStyle w:val="ListBullet"/>
        <w:ind w:left="360"/>
      </w:pPr>
      <w:r>
        <w:rPr>
          <w:rFonts w:ascii="Arial" w:hAnsi="Arial"/>
          <w:sz w:val="22"/>
        </w:rPr>
        <w:t>Multi-language content bundles — each item carries a single primary language</w:t>
      </w:r>
    </w:p>
    <w:p>
      <w:pPr>
        <w:pStyle w:val="ListBullet"/>
        <w:ind w:left="360"/>
      </w:pPr>
      <w:r>
        <w:rPr>
          <w:rFonts w:ascii="Arial" w:hAnsi="Arial"/>
          <w:sz w:val="22"/>
        </w:rPr>
        <w:t>Agri-input marketplace (seeds, fertilisers, pesticides) — this is a different domain, closer to ONDC retail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5C9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1F5C99"/>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