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16456542399ebe920e386bed39f302013974ee9"/>
    <w:p>
      <w:pPr>
        <w:pStyle w:val="Heading1"/>
      </w:pPr>
      <w:r>
        <w:t xml:space="preserve">Designing a Clinical Decision Algorithm for Starting and Escalating Therapy in Adult Pulmonary Hypertension</w:t>
      </w:r>
    </w:p>
    <w:bookmarkStart w:id="22" w:name="executive-summary"/>
    <w:p>
      <w:pPr>
        <w:pStyle w:val="Heading2"/>
      </w:pPr>
      <w:r>
        <w:t xml:space="preserve">Executive Summary</w:t>
      </w:r>
    </w:p>
    <w:p>
      <w:pPr>
        <w:pStyle w:val="FirstParagraph"/>
      </w:pPr>
      <w:r>
        <w:t xml:space="preserve">A clinically useful pulmonary hypertension (PH) treatment-decision algorithm must begin by</w:t>
      </w:r>
      <w:r>
        <w:t xml:space="preserve"> </w:t>
      </w:r>
      <w:r>
        <w:rPr>
          <w:b/>
          <w:bCs/>
        </w:rPr>
        <w:t xml:space="preserve">separating “PH as a hemodynamic finding” from “PH subtypes with evidence-based, disease-targeted therapies.”</w:t>
      </w:r>
      <w:r>
        <w:t xml:space="preserve"> </w:t>
      </w:r>
      <w:r>
        <w:t xml:space="preserve">Contemporary guidance defines PH as</w:t>
      </w:r>
      <w:r>
        <w:t xml:space="preserve"> </w:t>
      </w:r>
      <w:r>
        <w:rPr>
          <w:b/>
          <w:bCs/>
        </w:rPr>
        <w:t xml:space="preserve">mean pulmonary arterial pressure (mPAP) &gt;20 mmHg</w:t>
      </w:r>
      <w:r>
        <w:t xml:space="preserve"> </w:t>
      </w:r>
      <w:r>
        <w:t xml:space="preserve">on right-heart catheterization (RHC), and distinguishes</w:t>
      </w:r>
      <w:r>
        <w:t xml:space="preserve"> </w:t>
      </w:r>
      <w:r>
        <w:rPr>
          <w:b/>
          <w:bCs/>
        </w:rPr>
        <w:t xml:space="preserve">pre-capillary PH</w:t>
      </w:r>
      <w:r>
        <w:t xml:space="preserve"> </w:t>
      </w:r>
      <w:r>
        <w:t xml:space="preserve">(mPAP &gt;20, PAWP ≤15 mmHg,</w:t>
      </w:r>
      <w:r>
        <w:t xml:space="preserve"> </w:t>
      </w:r>
      <w:r>
        <w:rPr>
          <w:b/>
          <w:bCs/>
        </w:rPr>
        <w:t xml:space="preserve">PVR &gt;2 WU</w:t>
      </w:r>
      <w:r>
        <w:t xml:space="preserve">) from</w:t>
      </w:r>
      <w:r>
        <w:t xml:space="preserve"> </w:t>
      </w:r>
      <w:r>
        <w:rPr>
          <w:b/>
          <w:bCs/>
        </w:rPr>
        <w:t xml:space="preserve">post-capillary</w:t>
      </w:r>
      <w:r>
        <w:t xml:space="preserve"> </w:t>
      </w:r>
      <w:r>
        <w:t xml:space="preserve">phenotypes and combined forms.</w:t>
      </w:r>
      <w:r>
        <w:t xml:space="preserve"> </w:t>
      </w:r>
      <w:hyperlink r:id="rId21">
        <w:r>
          <w:rPr>
            <w:rStyle w:val="Hyperlink"/>
          </w:rPr>
          <w:t xml:space="preserve">[1]</w:t>
        </w:r>
      </w:hyperlink>
    </w:p>
    <w:p>
      <w:pPr>
        <w:pStyle w:val="BodyText"/>
      </w:pPr>
      <w:r>
        <w:t xml:space="preserve">Across all PH, the highest-yield therapeutic decision point is</w:t>
      </w:r>
      <w:r>
        <w:t xml:space="preserve"> </w:t>
      </w:r>
      <w:r>
        <w:rPr>
          <w:b/>
          <w:bCs/>
        </w:rPr>
        <w:t xml:space="preserve">WHO clinical group classification</w:t>
      </w:r>
      <w:r>
        <w:t xml:space="preserve"> </w:t>
      </w:r>
      <w:r>
        <w:t xml:space="preserve">(Groups 1–5):</w:t>
      </w:r>
      <w:r>
        <w:br/>
      </w:r>
      <w:r>
        <w:t xml:space="preserve">-</w:t>
      </w:r>
      <w:r>
        <w:t xml:space="preserve"> </w:t>
      </w:r>
      <w:r>
        <w:rPr>
          <w:b/>
          <w:bCs/>
        </w:rPr>
        <w:t xml:space="preserve">Group 1 (PAH)</w:t>
      </w:r>
      <w:r>
        <w:t xml:space="preserve"> </w:t>
      </w:r>
      <w:r>
        <w:t xml:space="preserve">and</w:t>
      </w:r>
      <w:r>
        <w:t xml:space="preserve"> </w:t>
      </w:r>
      <w:r>
        <w:rPr>
          <w:b/>
          <w:bCs/>
        </w:rPr>
        <w:t xml:space="preserve">Group 4 (CTEPH/CTEPD)</w:t>
      </w:r>
      <w:r>
        <w:t xml:space="preserve"> </w:t>
      </w:r>
      <w:r>
        <w:t xml:space="preserve">have the most specific, guideline-directed escalation pathways.</w:t>
      </w:r>
      <w:r>
        <w:t xml:space="preserve"> </w:t>
      </w:r>
      <w:hyperlink r:id="rId21">
        <w:r>
          <w:rPr>
            <w:rStyle w:val="Hyperlink"/>
          </w:rPr>
          <w:t xml:space="preserve">[2]</w:t>
        </w:r>
      </w:hyperlink>
      <w:r>
        <w:br/>
      </w:r>
      <w:r>
        <w:t xml:space="preserve">-</w:t>
      </w:r>
      <w:r>
        <w:t xml:space="preserve"> </w:t>
      </w:r>
      <w:r>
        <w:rPr>
          <w:b/>
          <w:bCs/>
        </w:rPr>
        <w:t xml:space="preserve">Group 3 PH (lung disease/hypoxia)</w:t>
      </w:r>
      <w:r>
        <w:t xml:space="preserve"> </w:t>
      </w:r>
      <w:r>
        <w:t xml:space="preserve">has limited targeted therapy options;</w:t>
      </w:r>
      <w:r>
        <w:t xml:space="preserve"> </w:t>
      </w:r>
      <w:r>
        <w:rPr>
          <w:b/>
          <w:bCs/>
        </w:rPr>
        <w:t xml:space="preserve">inhaled treprostinil</w:t>
      </w:r>
      <w:r>
        <w:t xml:space="preserve"> </w:t>
      </w:r>
      <w:r>
        <w:t xml:space="preserve">may be considered in PH associated with ILD, while most other PAH drugs are not recommended in non-severe Group 3 PH.</w:t>
      </w:r>
      <w:r>
        <w:t xml:space="preserve"> </w:t>
      </w:r>
      <w:hyperlink r:id="rId21">
        <w:r>
          <w:rPr>
            <w:rStyle w:val="Hyperlink"/>
          </w:rPr>
          <w:t xml:space="preserve">[3]</w:t>
        </w:r>
      </w:hyperlink>
      <w:r>
        <w:br/>
      </w:r>
      <w:r>
        <w:t xml:space="preserve">-</w:t>
      </w:r>
      <w:r>
        <w:t xml:space="preserve"> </w:t>
      </w:r>
      <w:r>
        <w:rPr>
          <w:b/>
          <w:bCs/>
        </w:rPr>
        <w:t xml:space="preserve">Group 2 PH (left heart disease)</w:t>
      </w:r>
      <w:r>
        <w:t xml:space="preserve"> </w:t>
      </w:r>
      <w:r>
        <w:t xml:space="preserve">is primarily managed by optimizing the underlying cardiac condition;</w:t>
      </w:r>
      <w:r>
        <w:t xml:space="preserve"> </w:t>
      </w:r>
      <w:r>
        <w:rPr>
          <w:b/>
          <w:bCs/>
        </w:rPr>
        <w:t xml:space="preserve">PAH drugs are not recommended</w:t>
      </w:r>
      <w:r>
        <w:t xml:space="preserve"> </w:t>
      </w:r>
      <w:r>
        <w:t xml:space="preserve">in PH due to left heart disease (PH-LHD).</w:t>
      </w:r>
      <w:r>
        <w:t xml:space="preserve"> </w:t>
      </w:r>
      <w:hyperlink r:id="rId21">
        <w:r>
          <w:rPr>
            <w:rStyle w:val="Hyperlink"/>
          </w:rPr>
          <w:t xml:space="preserve">[4]</w:t>
        </w:r>
      </w:hyperlink>
      <w:r>
        <w:br/>
      </w:r>
      <w:r>
        <w:t xml:space="preserve">-</w:t>
      </w:r>
      <w:r>
        <w:t xml:space="preserve"> </w:t>
      </w:r>
      <w:r>
        <w:rPr>
          <w:b/>
          <w:bCs/>
        </w:rPr>
        <w:t xml:space="preserve">Group 5 PH</w:t>
      </w:r>
      <w:r>
        <w:t xml:space="preserve"> </w:t>
      </w:r>
      <w:r>
        <w:t xml:space="preserve">is driven by the underlying disorder, with no consistent evidence base for PAH drugs.</w:t>
      </w:r>
      <w:r>
        <w:t xml:space="preserve"> </w:t>
      </w:r>
      <w:hyperlink r:id="rId21">
        <w:r>
          <w:rPr>
            <w:rStyle w:val="Hyperlink"/>
          </w:rPr>
          <w:t xml:space="preserve">[5]</w:t>
        </w:r>
      </w:hyperlink>
    </w:p>
    <w:p>
      <w:pPr>
        <w:pStyle w:val="BodyText"/>
      </w:pPr>
      <w:r>
        <w:t xml:space="preserve">For</w:t>
      </w:r>
      <w:r>
        <w:t xml:space="preserve"> </w:t>
      </w:r>
      <w:r>
        <w:rPr>
          <w:b/>
          <w:bCs/>
        </w:rPr>
        <w:t xml:space="preserve">Group 1 PAH</w:t>
      </w:r>
      <w:r>
        <w:t xml:space="preserve">, the most guideline-consistent way to decide</w:t>
      </w:r>
      <w:r>
        <w:t xml:space="preserve"> </w:t>
      </w:r>
      <w:r>
        <w:rPr>
          <w:b/>
          <w:bCs/>
        </w:rPr>
        <w:t xml:space="preserve">when to start and when to escalate</w:t>
      </w:r>
      <w:r>
        <w:t xml:space="preserve"> </w:t>
      </w:r>
      <w:r>
        <w:t xml:space="preserve">is a</w:t>
      </w:r>
      <w:r>
        <w:t xml:space="preserve"> </w:t>
      </w:r>
      <w:r>
        <w:rPr>
          <w:b/>
          <w:bCs/>
        </w:rPr>
        <w:t xml:space="preserve">risk-based “treat-to-low-risk” approach.</w:t>
      </w:r>
      <w:r>
        <w:t xml:space="preserve"> </w:t>
      </w:r>
      <w:r>
        <w:t xml:space="preserve">Baseline risk is assessed using a</w:t>
      </w:r>
      <w:r>
        <w:t xml:space="preserve"> </w:t>
      </w:r>
      <w:r>
        <w:rPr>
          <w:b/>
          <w:bCs/>
        </w:rPr>
        <w:t xml:space="preserve">multi-parameter 3-strata table</w:t>
      </w:r>
      <w:r>
        <w:t xml:space="preserve"> </w:t>
      </w:r>
      <w:r>
        <w:t xml:space="preserve">(low/intermediate/high) incorporating symptoms, WHO functional class (WHO-FC), 6-minute walk distance (6MWD), BNP/NT-proBNP, imaging, and hemodynamics; follow-up uses a simplified</w:t>
      </w:r>
      <w:r>
        <w:t xml:space="preserve"> </w:t>
      </w:r>
      <w:r>
        <w:rPr>
          <w:b/>
          <w:bCs/>
        </w:rPr>
        <w:t xml:space="preserve">4-strata tool</w:t>
      </w:r>
      <w:r>
        <w:t xml:space="preserve"> </w:t>
      </w:r>
      <w:r>
        <w:t xml:space="preserve">(WHO-FC, 6MWD, BNP/NT-proBNP) to discriminate intermediate-low vs intermediate-high risk and guide escalation.</w:t>
      </w:r>
      <w:r>
        <w:t xml:space="preserve"> </w:t>
      </w:r>
      <w:hyperlink r:id="rId21">
        <w:r>
          <w:rPr>
            <w:rStyle w:val="Hyperlink"/>
          </w:rPr>
          <w:t xml:space="preserve">[6]</w:t>
        </w:r>
      </w:hyperlink>
      <w:r>
        <w:br/>
      </w:r>
      <w:r>
        <w:t xml:space="preserve">-</w:t>
      </w:r>
      <w:r>
        <w:t xml:space="preserve"> </w:t>
      </w:r>
      <w:r>
        <w:rPr>
          <w:b/>
          <w:bCs/>
        </w:rPr>
        <w:t xml:space="preserve">Initial PAH therapy (no major cardiopulmonary comorbidities)</w:t>
      </w:r>
      <w:r>
        <w:t xml:space="preserve">:</w:t>
      </w:r>
      <w:r>
        <w:br/>
      </w:r>
      <w:r>
        <w:t xml:space="preserve">-</w:t>
      </w:r>
      <w:r>
        <w:t xml:space="preserve"> </w:t>
      </w:r>
      <w:r>
        <w:rPr>
          <w:b/>
          <w:bCs/>
        </w:rPr>
        <w:t xml:space="preserve">Low/intermediate risk</w:t>
      </w:r>
      <w:r>
        <w:t xml:space="preserve"> </w:t>
      </w:r>
      <w:r>
        <w:t xml:space="preserve">→</w:t>
      </w:r>
      <w:r>
        <w:t xml:space="preserve"> </w:t>
      </w:r>
      <w:r>
        <w:rPr>
          <w:b/>
          <w:bCs/>
        </w:rPr>
        <w:t xml:space="preserve">ERA + PDE5 inhibitor</w:t>
      </w:r>
      <w:r>
        <w:t xml:space="preserve"> </w:t>
      </w:r>
      <w:r>
        <w:t xml:space="preserve">combination is recommended (Class I, Level B).</w:t>
      </w:r>
      <w:r>
        <w:t xml:space="preserve"> </w:t>
      </w:r>
      <w:hyperlink r:id="rId21">
        <w:r>
          <w:rPr>
            <w:rStyle w:val="Hyperlink"/>
          </w:rPr>
          <w:t xml:space="preserve">[7]</w:t>
        </w:r>
      </w:hyperlink>
      <w:r>
        <w:br/>
      </w:r>
      <w:r>
        <w:t xml:space="preserve">-</w:t>
      </w:r>
      <w:r>
        <w:t xml:space="preserve"> </w:t>
      </w:r>
      <w:r>
        <w:rPr>
          <w:b/>
          <w:bCs/>
        </w:rPr>
        <w:t xml:space="preserve">High risk</w:t>
      </w:r>
      <w:r>
        <w:t xml:space="preserve"> </w:t>
      </w:r>
      <w:r>
        <w:t xml:space="preserve">→</w:t>
      </w:r>
      <w:r>
        <w:t xml:space="preserve"> </w:t>
      </w:r>
      <w:r>
        <w:rPr>
          <w:b/>
          <w:bCs/>
        </w:rPr>
        <w:t xml:space="preserve">add parenteral prostacyclin (IV/SC) as part of upfront combination</w:t>
      </w:r>
      <w:r>
        <w:t xml:space="preserve"> </w:t>
      </w:r>
      <w:r>
        <w:t xml:space="preserve">(Class IIa, Level C), and consider early transplant pathway integration.</w:t>
      </w:r>
      <w:r>
        <w:t xml:space="preserve"> </w:t>
      </w:r>
      <w:hyperlink r:id="rId21">
        <w:r>
          <w:rPr>
            <w:rStyle w:val="Hyperlink"/>
          </w:rPr>
          <w:t xml:space="preserve">[8]</w:t>
        </w:r>
      </w:hyperlink>
      <w:r>
        <w:br/>
      </w:r>
      <w:r>
        <w:t xml:space="preserve">-</w:t>
      </w:r>
      <w:r>
        <w:t xml:space="preserve"> </w:t>
      </w:r>
      <w:r>
        <w:rPr>
          <w:b/>
          <w:bCs/>
        </w:rPr>
        <w:t xml:space="preserve">Escalation triggers at follow-up</w:t>
      </w:r>
      <w:r>
        <w:t xml:space="preserve"> </w:t>
      </w:r>
      <w:r>
        <w:t xml:space="preserve">(4-strata): persistent intermediate-low risk despite dual therapy → add a prostacyclin pathway agent (e.g., selexipag) (Class IIa, Level B) or consider switching PDE5i→riociguat (Class IIb, Level B); intermediate-high/high risk → add IV/SC prostacyclin and refer for lung transplant evaluation (Class IIa, Level C).</w:t>
      </w:r>
      <w:r>
        <w:t xml:space="preserve"> </w:t>
      </w:r>
      <w:hyperlink r:id="rId21">
        <w:r>
          <w:rPr>
            <w:rStyle w:val="Hyperlink"/>
          </w:rPr>
          <w:t xml:space="preserve">[8]</w:t>
        </w:r>
      </w:hyperlink>
    </w:p>
    <w:p>
      <w:pPr>
        <w:pStyle w:val="BodyText"/>
      </w:pPr>
      <w:r>
        <w:t xml:space="preserve">Key special situations that must be explicit in any algorithm include:</w:t>
      </w:r>
      <w:r>
        <w:br/>
      </w:r>
      <w:r>
        <w:t xml:space="preserve">-</w:t>
      </w:r>
      <w:r>
        <w:t xml:space="preserve"> </w:t>
      </w:r>
      <w:r>
        <w:rPr>
          <w:b/>
          <w:bCs/>
        </w:rPr>
        <w:t xml:space="preserve">Vasoreactivity responders</w:t>
      </w:r>
      <w:r>
        <w:t xml:space="preserve"> </w:t>
      </w:r>
      <w:r>
        <w:t xml:space="preserve">(mainly idiopathic/heritable/drug-associated PAH): continue high-dose calcium channel blockers (CCBs) only if long-term response is sustained, typically WHO-FC I–II with marked hemodynamic improvement (mPAP &lt;30 mmHg and PVR &lt;4 WU), otherwise shift to standard PAH escalation.</w:t>
      </w:r>
      <w:r>
        <w:t xml:space="preserve"> </w:t>
      </w:r>
      <w:hyperlink r:id="rId21">
        <w:r>
          <w:rPr>
            <w:rStyle w:val="Hyperlink"/>
          </w:rPr>
          <w:t xml:space="preserve">[9]</w:t>
        </w:r>
      </w:hyperlink>
      <w:r>
        <w:br/>
      </w:r>
      <w:r>
        <w:t xml:space="preserve">-</w:t>
      </w:r>
      <w:r>
        <w:t xml:space="preserve"> </w:t>
      </w:r>
      <w:r>
        <w:rPr>
          <w:b/>
          <w:bCs/>
        </w:rPr>
        <w:t xml:space="preserve">Pregnancy</w:t>
      </w:r>
      <w:r>
        <w:t xml:space="preserve">: PAH patients should avoid pregnancy; if pregnancy occurs or is being considered, management should be in an experienced PH center, and teratogenic/contraindicated agents (notably ERAs and riociguat; selexipag often avoided due to limited pregnancy safety data) should be stopped/avoided.</w:t>
      </w:r>
      <w:r>
        <w:t xml:space="preserve"> </w:t>
      </w:r>
      <w:hyperlink r:id="rId21">
        <w:r>
          <w:rPr>
            <w:rStyle w:val="Hyperlink"/>
          </w:rPr>
          <w:t xml:space="preserve">[10]</w:t>
        </w:r>
      </w:hyperlink>
      <w:r>
        <w:br/>
      </w:r>
      <w:r>
        <w:t xml:space="preserve">-</w:t>
      </w:r>
      <w:r>
        <w:t xml:space="preserve"> </w:t>
      </w:r>
      <w:r>
        <w:rPr>
          <w:b/>
          <w:bCs/>
        </w:rPr>
        <w:t xml:space="preserve">Cardiopulmonary comorbidities</w:t>
      </w:r>
      <w:r>
        <w:t xml:space="preserve"> </w:t>
      </w:r>
      <w:r>
        <w:t xml:space="preserve">(often older phenotypes): initial monotherapy with PDE5i or ERA should be considered; escalation is individualized and evidence is limited.</w:t>
      </w:r>
      <w:r>
        <w:t xml:space="preserve"> </w:t>
      </w:r>
      <w:hyperlink r:id="rId21">
        <w:r>
          <w:rPr>
            <w:rStyle w:val="Hyperlink"/>
          </w:rPr>
          <w:t xml:space="preserve">[11]</w:t>
        </w:r>
      </w:hyperlink>
      <w:r>
        <w:br/>
      </w:r>
      <w:r>
        <w:t xml:space="preserve">-</w:t>
      </w:r>
      <w:r>
        <w:t xml:space="preserve"> </w:t>
      </w:r>
      <w:r>
        <w:rPr>
          <w:b/>
          <w:bCs/>
        </w:rPr>
        <w:t xml:space="preserve">Transplant pathway</w:t>
      </w:r>
      <w:r>
        <w:t xml:space="preserve">: referral is recommended when oral combination therapy fails to achieve adequate response (intermediate-high/high risk or REVEAL risk score &gt;7); listing is recommended when high-risk persists (or REVEAL ≥10) despite optimized therapy including parenteral prostacyclin.</w:t>
      </w:r>
      <w:r>
        <w:t xml:space="preserve"> </w:t>
      </w:r>
      <w:hyperlink r:id="rId21">
        <w:r>
          <w:rPr>
            <w:rStyle w:val="Hyperlink"/>
          </w:rPr>
          <w:t xml:space="preserve">[12]</w:t>
        </w:r>
      </w:hyperlink>
    </w:p>
    <w:bookmarkEnd w:id="22"/>
    <w:bookmarkStart w:id="23" w:name="scope-and-assumptions"/>
    <w:p>
      <w:pPr>
        <w:pStyle w:val="Heading2"/>
      </w:pPr>
      <w:r>
        <w:t xml:space="preserve">Scope and Assumptions</w:t>
      </w:r>
    </w:p>
    <w:p>
      <w:pPr>
        <w:pStyle w:val="FirstParagraph"/>
      </w:pPr>
      <w:r>
        <w:t xml:space="preserve">This report addresses</w:t>
      </w:r>
      <w:r>
        <w:t xml:space="preserve"> </w:t>
      </w:r>
      <w:r>
        <w:rPr>
          <w:b/>
          <w:bCs/>
        </w:rPr>
        <w:t xml:space="preserve">adult (≥18 years) pulmonary hypertension</w:t>
      </w:r>
      <w:r>
        <w:t xml:space="preserve"> </w:t>
      </w:r>
      <w:r>
        <w:t xml:space="preserve">across</w:t>
      </w:r>
      <w:r>
        <w:t xml:space="preserve"> </w:t>
      </w:r>
      <w:r>
        <w:rPr>
          <w:b/>
          <w:bCs/>
        </w:rPr>
        <w:t xml:space="preserve">all WHO clinical groups</w:t>
      </w:r>
      <w:r>
        <w:t xml:space="preserve"> </w:t>
      </w:r>
      <w:r>
        <w:t xml:space="preserve">(Groups 1–5), with detailed escalation logic primarily for</w:t>
      </w:r>
      <w:r>
        <w:t xml:space="preserve"> </w:t>
      </w:r>
      <w:r>
        <w:rPr>
          <w:b/>
          <w:bCs/>
        </w:rPr>
        <w:t xml:space="preserve">Group 1 PAH</w:t>
      </w:r>
      <w:r>
        <w:t xml:space="preserve"> </w:t>
      </w:r>
      <w:r>
        <w:t xml:space="preserve">and</w:t>
      </w:r>
      <w:r>
        <w:t xml:space="preserve"> </w:t>
      </w:r>
      <w:r>
        <w:rPr>
          <w:b/>
          <w:bCs/>
        </w:rPr>
        <w:t xml:space="preserve">Group 4 CTEPH</w:t>
      </w:r>
      <w:r>
        <w:t xml:space="preserve">, because those are the PH forms with the most explicit guideline-directed targeted therapy pathways.</w:t>
      </w:r>
      <w:r>
        <w:t xml:space="preserve"> </w:t>
      </w:r>
      <w:hyperlink r:id="rId21">
        <w:r>
          <w:rPr>
            <w:rStyle w:val="Hyperlink"/>
          </w:rPr>
          <w:t xml:space="preserve">[13]</w:t>
        </w:r>
      </w:hyperlink>
    </w:p>
    <w:p>
      <w:pPr>
        <w:pStyle w:val="BodyText"/>
      </w:pPr>
      <w:r>
        <w:t xml:space="preserve">Clinical setting assumptions (explicit):</w:t>
      </w:r>
      <w:r>
        <w:br/>
      </w:r>
      <w:r>
        <w:t xml:space="preserve">- The “default” pathway is</w:t>
      </w:r>
      <w:r>
        <w:t xml:space="preserve"> </w:t>
      </w:r>
      <w:r>
        <w:rPr>
          <w:b/>
          <w:bCs/>
        </w:rPr>
        <w:t xml:space="preserve">outpatient evaluation and longitudinal therapy management</w:t>
      </w:r>
      <w:r>
        <w:t xml:space="preserve">, with a branch for</w:t>
      </w:r>
      <w:r>
        <w:t xml:space="preserve"> </w:t>
      </w:r>
      <w:r>
        <w:rPr>
          <w:b/>
          <w:bCs/>
        </w:rPr>
        <w:t xml:space="preserve">inpatient decompensation/right-heart failure</w:t>
      </w:r>
      <w:r>
        <w:t xml:space="preserve"> </w:t>
      </w:r>
      <w:r>
        <w:t xml:space="preserve">requiring urgent escalation (e.g., parenteral prostacyclin initiation, ICU support).</w:t>
      </w:r>
      <w:r>
        <w:t xml:space="preserve"> </w:t>
      </w:r>
      <w:hyperlink r:id="rId21">
        <w:r>
          <w:rPr>
            <w:rStyle w:val="Hyperlink"/>
          </w:rPr>
          <w:t xml:space="preserve">[14]</w:t>
        </w:r>
      </w:hyperlink>
      <w:r>
        <w:br/>
      </w:r>
      <w:r>
        <w:t xml:space="preserve">-</w:t>
      </w:r>
      <w:r>
        <w:t xml:space="preserve"> </w:t>
      </w:r>
      <w:r>
        <w:rPr>
          <w:b/>
          <w:bCs/>
        </w:rPr>
        <w:t xml:space="preserve">Resources assumed available</w:t>
      </w:r>
      <w:r>
        <w:t xml:space="preserve">: echocardiography; natriuretic peptides (BNP/NT-proBNP); 6MWD; access to RHC; volume status optimization; PH-center referral pathways; and, for appropriate candidates, access to PAH drugs (ERA, PDE5i, sGC stimulator, prostacyclin pathway agents including IV/SC therapy) and transplant evaluation.</w:t>
      </w:r>
      <w:r>
        <w:t xml:space="preserve"> </w:t>
      </w:r>
      <w:hyperlink r:id="rId21">
        <w:r>
          <w:rPr>
            <w:rStyle w:val="Hyperlink"/>
          </w:rPr>
          <w:t xml:space="preserve">[15]</w:t>
        </w:r>
      </w:hyperlink>
      <w:r>
        <w:br/>
      </w:r>
      <w:r>
        <w:t xml:space="preserve">- Where guidance depends on advanced services (CTEPH surgery/BPA, transplant), the algorithm assumes</w:t>
      </w:r>
      <w:r>
        <w:t xml:space="preserve"> </w:t>
      </w:r>
      <w:r>
        <w:rPr>
          <w:b/>
          <w:bCs/>
        </w:rPr>
        <w:t xml:space="preserve">availability of referral options</w:t>
      </w:r>
      <w:r>
        <w:t xml:space="preserve"> </w:t>
      </w:r>
      <w:r>
        <w:t xml:space="preserve">even if not locally provided.</w:t>
      </w:r>
      <w:r>
        <w:t xml:space="preserve"> </w:t>
      </w:r>
      <w:hyperlink r:id="rId21">
        <w:r>
          <w:rPr>
            <w:rStyle w:val="Hyperlink"/>
          </w:rPr>
          <w:t xml:space="preserve">[16]</w:t>
        </w:r>
      </w:hyperlink>
    </w:p>
    <w:p>
      <w:pPr>
        <w:pStyle w:val="BodyText"/>
      </w:pPr>
      <w:r>
        <w:t xml:space="preserve">Etiology-specific assumptions and caveats:</w:t>
      </w:r>
      <w:r>
        <w:br/>
      </w:r>
      <w:r>
        <w:t xml:space="preserve">- The core PAH escalation logic is best supported for</w:t>
      </w:r>
      <w:r>
        <w:t xml:space="preserve"> </w:t>
      </w:r>
      <w:r>
        <w:rPr>
          <w:b/>
          <w:bCs/>
        </w:rPr>
        <w:t xml:space="preserve">idiopathic, heritable, and drug/toxin-associated PAH</w:t>
      </w:r>
      <w:r>
        <w:t xml:space="preserve">, and for</w:t>
      </w:r>
      <w:r>
        <w:t xml:space="preserve"> </w:t>
      </w:r>
      <w:r>
        <w:rPr>
          <w:b/>
          <w:bCs/>
        </w:rPr>
        <w:t xml:space="preserve">connective tissue disease-associated PAH</w:t>
      </w:r>
      <w:r>
        <w:t xml:space="preserve"> </w:t>
      </w:r>
      <w:r>
        <w:t xml:space="preserve">in phenotypically clear cases; evidence is weaker in older patients with cardiopulmonary comorbidity phenotypes.</w:t>
      </w:r>
      <w:r>
        <w:t xml:space="preserve"> </w:t>
      </w:r>
      <w:hyperlink r:id="rId21">
        <w:r>
          <w:rPr>
            <w:rStyle w:val="Hyperlink"/>
          </w:rPr>
          <w:t xml:space="preserve">[17]</w:t>
        </w:r>
      </w:hyperlink>
      <w:r>
        <w:br/>
      </w:r>
      <w:r>
        <w:t xml:space="preserve">- “Targeted therapy” in this report refers to</w:t>
      </w:r>
      <w:r>
        <w:t xml:space="preserve"> </w:t>
      </w:r>
      <w:r>
        <w:rPr>
          <w:b/>
          <w:bCs/>
        </w:rPr>
        <w:t xml:space="preserve">PAH-approved therapies</w:t>
      </w:r>
      <w:r>
        <w:t xml:space="preserve">; their use is generally</w:t>
      </w:r>
      <w:r>
        <w:t xml:space="preserve"> </w:t>
      </w:r>
      <w:r>
        <w:rPr>
          <w:b/>
          <w:bCs/>
        </w:rPr>
        <w:t xml:space="preserve">not recommended</w:t>
      </w:r>
      <w:r>
        <w:t xml:space="preserve"> </w:t>
      </w:r>
      <w:r>
        <w:t xml:space="preserve">for PH-LHD and non-severe Group 3 PH, except for specific circumstances highlighted below.</w:t>
      </w:r>
      <w:r>
        <w:t xml:space="preserve"> </w:t>
      </w:r>
      <w:hyperlink r:id="rId21">
        <w:r>
          <w:rPr>
            <w:rStyle w:val="Hyperlink"/>
          </w:rPr>
          <w:t xml:space="preserve">[18]</w:t>
        </w:r>
      </w:hyperlink>
    </w:p>
    <w:bookmarkEnd w:id="23"/>
    <w:bookmarkStart w:id="29" w:name="evidence-base-and-guideline-landscape"/>
    <w:p>
      <w:pPr>
        <w:pStyle w:val="Heading2"/>
      </w:pPr>
      <w:r>
        <w:t xml:space="preserve">Evidence Base and Guideline Landscape</w:t>
      </w:r>
    </w:p>
    <w:p>
      <w:pPr>
        <w:pStyle w:val="FirstParagraph"/>
      </w:pPr>
      <w:r>
        <w:t xml:space="preserve">The algorithm design prioritizes the following primary and consensus sources:</w:t>
      </w:r>
    </w:p>
    <w:p>
      <w:pPr>
        <w:pStyle w:val="BodyText"/>
      </w:pPr>
      <w:r>
        <w:t xml:space="preserve">The foundational guideline for adult PH diagnosis, classification, and treatment escalation in this report is the</w:t>
      </w:r>
      <w:r>
        <w:t xml:space="preserve"> </w:t>
      </w:r>
      <w:r>
        <w:rPr>
          <w:b/>
          <w:bCs/>
        </w:rPr>
        <w:t xml:space="preserve">2022 ESC/ERS guideline</w:t>
      </w:r>
      <w:r>
        <w:t xml:space="preserve"> </w:t>
      </w:r>
      <w:r>
        <w:t xml:space="preserve">developed by the European Society of Cardiology</w:t>
      </w:r>
      <w:hyperlink r:id="rId24">
        <w:r>
          <w:rPr>
            <w:rStyle w:val="Hyperlink"/>
          </w:rPr>
          <w:t xml:space="preserve">[19]</w:t>
        </w:r>
      </w:hyperlink>
      <w:r>
        <w:t xml:space="preserve"> </w:t>
      </w:r>
      <w:r>
        <w:t xml:space="preserve">and the European Respiratory Society</w:t>
      </w:r>
      <w:hyperlink r:id="rId21">
        <w:r>
          <w:rPr>
            <w:rStyle w:val="Hyperlink"/>
          </w:rPr>
          <w:t xml:space="preserve">[20]</w:t>
        </w:r>
      </w:hyperlink>
      <w:r>
        <w:t xml:space="preserve">, which provides: updated hemodynamic definitions; risk stratification thresholds; PAH treatment algorithms; and group-specific recommendations for Group 2 (LHD), Group 3 (lung disease), and Group 4 (CTEPH).</w:t>
      </w:r>
      <w:r>
        <w:t xml:space="preserve"> </w:t>
      </w:r>
      <w:hyperlink r:id="rId21">
        <w:r>
          <w:rPr>
            <w:rStyle w:val="Hyperlink"/>
          </w:rPr>
          <w:t xml:space="preserve">[21]</w:t>
        </w:r>
      </w:hyperlink>
    </w:p>
    <w:p>
      <w:pPr>
        <w:pStyle w:val="BodyText"/>
      </w:pPr>
      <w:r>
        <w:t xml:space="preserve">For PAH pharmacotherapy, the updated CHEST guideline (2019) from the American College of Chest Physicians</w:t>
      </w:r>
      <w:hyperlink r:id="rId21">
        <w:r>
          <w:rPr>
            <w:rStyle w:val="Hyperlink"/>
          </w:rPr>
          <w:t xml:space="preserve">[22]</w:t>
        </w:r>
      </w:hyperlink>
      <w:r>
        <w:t xml:space="preserve"> </w:t>
      </w:r>
      <w:r>
        <w:t xml:space="preserve">provides a functional-class-oriented approach with GRADE-style recommendation strength and evidence quality; it is broadly aligned with combination therapy but historically less “risk-table-driven” than ESC/ERS.</w:t>
      </w:r>
      <w:r>
        <w:t xml:space="preserve"> </w:t>
      </w:r>
      <w:hyperlink r:id="rId25">
        <w:r>
          <w:rPr>
            <w:rStyle w:val="Hyperlink"/>
          </w:rPr>
          <w:t xml:space="preserve">[23]</w:t>
        </w:r>
      </w:hyperlink>
    </w:p>
    <w:p>
      <w:pPr>
        <w:pStyle w:val="BodyText"/>
      </w:pPr>
      <w:r>
        <w:t xml:space="preserve">Expert consensus updates from the</w:t>
      </w:r>
      <w:r>
        <w:t xml:space="preserve"> </w:t>
      </w:r>
      <w:r>
        <w:rPr>
          <w:b/>
          <w:bCs/>
        </w:rPr>
        <w:t xml:space="preserve">7th World Symposium on Pulmonary Hypertension (WSPH)</w:t>
      </w:r>
      <w:r>
        <w:t xml:space="preserve"> </w:t>
      </w:r>
      <w:r>
        <w:t xml:space="preserve">propose a contemporary PAH treatment algorithm emphasizing combination therapy, early reassessment, and incorporation of newer pathways such as sotatercept, while acknowledging continuing uncertainty in borderline hemodynamic disease.</w:t>
      </w:r>
      <w:r>
        <w:t xml:space="preserve"> </w:t>
      </w:r>
      <w:hyperlink r:id="rId24">
        <w:r>
          <w:rPr>
            <w:rStyle w:val="Hyperlink"/>
          </w:rPr>
          <w:t xml:space="preserve">[24]</w:t>
        </w:r>
      </w:hyperlink>
    </w:p>
    <w:p>
      <w:pPr>
        <w:pStyle w:val="BodyText"/>
      </w:pPr>
      <w:r>
        <w:t xml:space="preserve">Transplant candidacy and timing draw from both ESC/ERS transplant recommendation tables and the International Society for Heart and Lung Transplantation</w:t>
      </w:r>
      <w:hyperlink r:id="rId21">
        <w:r>
          <w:rPr>
            <w:rStyle w:val="Hyperlink"/>
          </w:rPr>
          <w:t xml:space="preserve">[25]</w:t>
        </w:r>
      </w:hyperlink>
      <w:r>
        <w:t xml:space="preserve"> </w:t>
      </w:r>
      <w:r>
        <w:t xml:space="preserve">consensus document on lung transplant candidate selection (2021), plus WSPH transplant/bridging consensus.</w:t>
      </w:r>
      <w:r>
        <w:t xml:space="preserve"> </w:t>
      </w:r>
      <w:hyperlink r:id="rId21">
        <w:r>
          <w:rPr>
            <w:rStyle w:val="Hyperlink"/>
          </w:rPr>
          <w:t xml:space="preserve">[26]</w:t>
        </w:r>
      </w:hyperlink>
    </w:p>
    <w:p>
      <w:pPr>
        <w:pStyle w:val="BodyText"/>
      </w:pPr>
      <w:r>
        <w:t xml:space="preserve">For U.S.-focused center-of-care delivery/referral concepts, the Pulmonary Hypertension Association (PHA)</w:t>
      </w:r>
      <w:hyperlink r:id="rId21">
        <w:r>
          <w:rPr>
            <w:rStyle w:val="Hyperlink"/>
          </w:rPr>
          <w:t xml:space="preserve">[27]</w:t>
        </w:r>
      </w:hyperlink>
      <w:r>
        <w:t xml:space="preserve"> </w:t>
      </w:r>
      <w:r>
        <w:t xml:space="preserve">provides accreditation criteria for PH care centers that can be operationalized as referral triggers in decision support tools.</w:t>
      </w:r>
      <w:r>
        <w:t xml:space="preserve"> </w:t>
      </w:r>
      <w:hyperlink r:id="rId26">
        <w:r>
          <w:rPr>
            <w:rStyle w:val="Hyperlink"/>
          </w:rPr>
          <w:t xml:space="preserve">[28]</w:t>
        </w:r>
      </w:hyperlink>
    </w:p>
    <w:p>
      <w:pPr>
        <w:pStyle w:val="BodyText"/>
      </w:pPr>
      <w:r>
        <w:t xml:space="preserve">The American Heart Association</w:t>
      </w:r>
      <w:hyperlink r:id="rId21">
        <w:r>
          <w:rPr>
            <w:rStyle w:val="Hyperlink"/>
          </w:rPr>
          <w:t xml:space="preserve">[29]</w:t>
        </w:r>
      </w:hyperlink>
      <w:r>
        <w:t xml:space="preserve"> </w:t>
      </w:r>
      <w:r>
        <w:t xml:space="preserve">provides a scientific statement framework for perioperative PH management in noncardiac surgery and supports specialized evaluation pathways (relevant as an inpatient/surgical “special circumstance” branch, not as the primary chronic escalation framework).</w:t>
      </w:r>
      <w:r>
        <w:t xml:space="preserve"> </w:t>
      </w:r>
      <w:hyperlink r:id="rId27">
        <w:r>
          <w:rPr>
            <w:rStyle w:val="Hyperlink"/>
          </w:rPr>
          <w:t xml:space="preserve">[30]</w:t>
        </w:r>
      </w:hyperlink>
    </w:p>
    <w:p>
      <w:pPr>
        <w:pStyle w:val="BodyText"/>
      </w:pPr>
      <w:r>
        <w:t xml:space="preserve">For the UK, National Institute for Health and Care Excellence</w:t>
      </w:r>
      <w:hyperlink r:id="rId21">
        <w:r>
          <w:rPr>
            <w:rStyle w:val="Hyperlink"/>
          </w:rPr>
          <w:t xml:space="preserve">[31]</w:t>
        </w:r>
      </w:hyperlink>
      <w:r>
        <w:t xml:space="preserve"> </w:t>
      </w:r>
      <w:r>
        <w:t xml:space="preserve">has historically issued technology appraisal materials for PAH drugs and is evaluating newer agents (e.g., sotatercept) in current appraisal processes; these are highly relevant for formulary-aware algorithms but are not a comprehensive clinical PH guideline in the same sense as ESC/ERS.</w:t>
      </w:r>
      <w:r>
        <w:t xml:space="preserve"> </w:t>
      </w:r>
      <w:hyperlink r:id="rId28">
        <w:r>
          <w:rPr>
            <w:rStyle w:val="Hyperlink"/>
          </w:rPr>
          <w:t xml:space="preserve">[32]</w:t>
        </w:r>
      </w:hyperlink>
    </w:p>
    <w:bookmarkEnd w:id="29"/>
    <w:bookmarkStart w:id="36" w:name="X8af222581a32460623cc5460f66861108b53b11"/>
    <w:p>
      <w:pPr>
        <w:pStyle w:val="Heading2"/>
      </w:pPr>
      <w:r>
        <w:t xml:space="preserve">Key Clinical Factors and Evidence-Based Thresholds</w:t>
      </w:r>
    </w:p>
    <w:bookmarkStart w:id="30" w:name="X1f8b606a55bbbd70c07b4f99cce5dd5e8a7013d"/>
    <w:p>
      <w:pPr>
        <w:pStyle w:val="Heading3"/>
      </w:pPr>
      <w:r>
        <w:t xml:space="preserve">Hemodynamic definitions and WHO group framing</w:t>
      </w:r>
    </w:p>
    <w:p>
      <w:pPr>
        <w:pStyle w:val="FirstParagraph"/>
      </w:pPr>
      <w:r>
        <w:t xml:space="preserve">A decision algorithm should treat RHC-derived hemodynamics as</w:t>
      </w:r>
      <w:r>
        <w:t xml:space="preserve"> </w:t>
      </w:r>
      <w:r>
        <w:rPr>
          <w:b/>
          <w:bCs/>
        </w:rPr>
        <w:t xml:space="preserve">hard gates</w:t>
      </w:r>
      <w:r>
        <w:t xml:space="preserve"> </w:t>
      </w:r>
      <w:r>
        <w:t xml:space="preserve">because therapy appropriateness depends on whether PH is pre-capillary vs post-capillary and on PVR magnitude:</w:t>
      </w:r>
      <w:r>
        <w:br/>
      </w:r>
      <w:r>
        <w:t xml:space="preserve">-</w:t>
      </w:r>
      <w:r>
        <w:t xml:space="preserve"> </w:t>
      </w:r>
      <w:r>
        <w:rPr>
          <w:b/>
          <w:bCs/>
        </w:rPr>
        <w:t xml:space="preserve">PH</w:t>
      </w:r>
      <w:r>
        <w:t xml:space="preserve">: mPAP &gt;20 mmHg.</w:t>
      </w:r>
      <w:r>
        <w:t xml:space="preserve"> </w:t>
      </w:r>
      <w:hyperlink r:id="rId21">
        <w:r>
          <w:rPr>
            <w:rStyle w:val="Hyperlink"/>
          </w:rPr>
          <w:t xml:space="preserve">[1]</w:t>
        </w:r>
      </w:hyperlink>
      <w:r>
        <w:br/>
      </w:r>
      <w:r>
        <w:t xml:space="preserve">-</w:t>
      </w:r>
      <w:r>
        <w:t xml:space="preserve"> </w:t>
      </w:r>
      <w:r>
        <w:rPr>
          <w:b/>
          <w:bCs/>
        </w:rPr>
        <w:t xml:space="preserve">Pre-capillary PH</w:t>
      </w:r>
      <w:r>
        <w:t xml:space="preserve">: mPAP &gt;20, PAWP ≤15, PVR &gt;2 WU.</w:t>
      </w:r>
      <w:r>
        <w:t xml:space="preserve"> </w:t>
      </w:r>
      <w:hyperlink r:id="rId21">
        <w:r>
          <w:rPr>
            <w:rStyle w:val="Hyperlink"/>
          </w:rPr>
          <w:t xml:space="preserve">[1]</w:t>
        </w:r>
      </w:hyperlink>
      <w:r>
        <w:br/>
      </w:r>
      <w:r>
        <w:t xml:space="preserve">-</w:t>
      </w:r>
      <w:r>
        <w:t xml:space="preserve"> </w:t>
      </w:r>
      <w:r>
        <w:rPr>
          <w:b/>
          <w:bCs/>
        </w:rPr>
        <w:t xml:space="preserve">Isolated post-capillary PH (IpcPH)</w:t>
      </w:r>
      <w:r>
        <w:t xml:space="preserve">: mPAP &gt;20, PAWP &gt;15, PVR ≤2 WU.</w:t>
      </w:r>
      <w:r>
        <w:t xml:space="preserve"> </w:t>
      </w:r>
      <w:hyperlink r:id="rId21">
        <w:r>
          <w:rPr>
            <w:rStyle w:val="Hyperlink"/>
          </w:rPr>
          <w:t xml:space="preserve">[1]</w:t>
        </w:r>
      </w:hyperlink>
      <w:r>
        <w:br/>
      </w:r>
      <w:r>
        <w:t xml:space="preserve">-</w:t>
      </w:r>
      <w:r>
        <w:t xml:space="preserve"> </w:t>
      </w:r>
      <w:r>
        <w:rPr>
          <w:b/>
          <w:bCs/>
        </w:rPr>
        <w:t xml:space="preserve">Combined post- and pre-capillary PH (CpcPH)</w:t>
      </w:r>
      <w:r>
        <w:t xml:space="preserve">: mPAP &gt;20, PAWP &gt;15, PVR &gt;2 WU; a PVR &gt;5 WU may indicate a “severe” pre-capillary component in PH-LHD phenotypes.</w:t>
      </w:r>
      <w:r>
        <w:t xml:space="preserve"> </w:t>
      </w:r>
      <w:hyperlink r:id="rId21">
        <w:r>
          <w:rPr>
            <w:rStyle w:val="Hyperlink"/>
          </w:rPr>
          <w:t xml:space="preserve">[33]</w:t>
        </w:r>
      </w:hyperlink>
      <w:r>
        <w:br/>
      </w:r>
      <w:r>
        <w:t xml:space="preserve">-</w:t>
      </w:r>
      <w:r>
        <w:t xml:space="preserve"> </w:t>
      </w:r>
      <w:r>
        <w:rPr>
          <w:b/>
          <w:bCs/>
        </w:rPr>
        <w:t xml:space="preserve">“Unclassified PH”</w:t>
      </w:r>
      <w:r>
        <w:t xml:space="preserve"> </w:t>
      </w:r>
      <w:r>
        <w:t xml:space="preserve">is recognized when mPAP is elevated but PAWP ≤15 and PVR ≤2 (often reflecting high-flow states or mixed mechanisms), and PAH-drug strategies should not be reflexively applied.</w:t>
      </w:r>
      <w:r>
        <w:t xml:space="preserve"> </w:t>
      </w:r>
      <w:hyperlink r:id="rId21">
        <w:r>
          <w:rPr>
            <w:rStyle w:val="Hyperlink"/>
          </w:rPr>
          <w:t xml:space="preserve">[34]</w:t>
        </w:r>
      </w:hyperlink>
    </w:p>
    <w:p>
      <w:pPr>
        <w:pStyle w:val="BodyText"/>
      </w:pPr>
      <w:r>
        <w:t xml:space="preserve">These definitions must be paired with</w:t>
      </w:r>
      <w:r>
        <w:t xml:space="preserve"> </w:t>
      </w:r>
      <w:r>
        <w:rPr>
          <w:b/>
          <w:bCs/>
        </w:rPr>
        <w:t xml:space="preserve">clinical classification (WHO groups)</w:t>
      </w:r>
      <w:r>
        <w:t xml:space="preserve"> </w:t>
      </w:r>
      <w:r>
        <w:t xml:space="preserve">to avoid inappropriate PAH-targeted therapy in Group 2 or many Group 3 scenarios.</w:t>
      </w:r>
      <w:r>
        <w:t xml:space="preserve"> </w:t>
      </w:r>
      <w:hyperlink r:id="rId21">
        <w:r>
          <w:rPr>
            <w:rStyle w:val="Hyperlink"/>
          </w:rPr>
          <w:t xml:space="preserve">[35]</w:t>
        </w:r>
      </w:hyperlink>
    </w:p>
    <w:bookmarkEnd w:id="30"/>
    <w:bookmarkStart w:id="31" w:name="Xdcad4e66623be888ebf10d69f4646dacb158a3c"/>
    <w:p>
      <w:pPr>
        <w:pStyle w:val="Heading3"/>
      </w:pPr>
      <w:r>
        <w:t xml:space="preserve">Risk stratification as the core “start/escalate” engine for PAH</w:t>
      </w:r>
    </w:p>
    <w:p>
      <w:pPr>
        <w:pStyle w:val="FirstParagraph"/>
      </w:pPr>
      <w:r>
        <w:t xml:space="preserve">ESC/ERS frames PAH therapy around a</w:t>
      </w:r>
      <w:r>
        <w:t xml:space="preserve"> </w:t>
      </w:r>
      <w:r>
        <w:rPr>
          <w:b/>
          <w:bCs/>
        </w:rPr>
        <w:t xml:space="preserve">goal-oriented, risk-based strategy</w:t>
      </w:r>
      <w:r>
        <w:t xml:space="preserve"> </w:t>
      </w:r>
      <w:r>
        <w:t xml:space="preserve">where achieving/maintaining low risk is desirable; intermediate risk is further discriminated at follow-up using 4 strata.</w:t>
      </w:r>
      <w:r>
        <w:t xml:space="preserve"> </w:t>
      </w:r>
      <w:hyperlink r:id="rId21">
        <w:r>
          <w:rPr>
            <w:rStyle w:val="Hyperlink"/>
          </w:rPr>
          <w:t xml:space="preserve">[36]</w:t>
        </w:r>
      </w:hyperlink>
    </w:p>
    <w:p>
      <w:pPr>
        <w:pStyle w:val="BodyText"/>
      </w:pPr>
      <w:r>
        <w:t xml:space="preserve">Operationally, a clinical decision algorithm should implement:</w:t>
      </w:r>
      <w:r>
        <w:br/>
      </w:r>
      <w:r>
        <w:t xml:space="preserve">-</w:t>
      </w:r>
      <w:r>
        <w:t xml:space="preserve"> </w:t>
      </w:r>
      <w:r>
        <w:rPr>
          <w:b/>
          <w:bCs/>
        </w:rPr>
        <w:t xml:space="preserve">Baseline</w:t>
      </w:r>
      <w:r>
        <w:t xml:space="preserve">: comprehensive</w:t>
      </w:r>
      <w:r>
        <w:t xml:space="preserve"> </w:t>
      </w:r>
      <w:r>
        <w:rPr>
          <w:b/>
          <w:bCs/>
        </w:rPr>
        <w:t xml:space="preserve">3-strata</w:t>
      </w:r>
      <w:r>
        <w:t xml:space="preserve"> </w:t>
      </w:r>
      <w:r>
        <w:t xml:space="preserve">assessment incorporating multiple domains (Table 16).</w:t>
      </w:r>
      <w:r>
        <w:t xml:space="preserve"> </w:t>
      </w:r>
      <w:hyperlink r:id="rId21">
        <w:r>
          <w:rPr>
            <w:rStyle w:val="Hyperlink"/>
          </w:rPr>
          <w:t xml:space="preserve">[37]</w:t>
        </w:r>
      </w:hyperlink>
      <w:r>
        <w:br/>
      </w:r>
      <w:r>
        <w:t xml:space="preserve">-</w:t>
      </w:r>
      <w:r>
        <w:t xml:space="preserve"> </w:t>
      </w:r>
      <w:r>
        <w:rPr>
          <w:b/>
          <w:bCs/>
        </w:rPr>
        <w:t xml:space="preserve">Follow-up</w:t>
      </w:r>
      <w:r>
        <w:t xml:space="preserve">: simplified</w:t>
      </w:r>
      <w:r>
        <w:t xml:space="preserve"> </w:t>
      </w:r>
      <w:r>
        <w:rPr>
          <w:b/>
          <w:bCs/>
        </w:rPr>
        <w:t xml:space="preserve">4-strata</w:t>
      </w:r>
      <w:r>
        <w:t xml:space="preserve"> </w:t>
      </w:r>
      <w:r>
        <w:t xml:space="preserve">assessment based on WHO-FC, 6MWD, BNP/NT-proBNP (Table 18), plus additional variables when available.</w:t>
      </w:r>
      <w:r>
        <w:t xml:space="preserve"> </w:t>
      </w:r>
      <w:hyperlink r:id="rId21">
        <w:r>
          <w:rPr>
            <w:rStyle w:val="Hyperlink"/>
          </w:rPr>
          <w:t xml:space="preserve">[38]</w:t>
        </w:r>
      </w:hyperlink>
      <w:r>
        <w:br/>
      </w:r>
      <w:r>
        <w:t xml:space="preserve">-</w:t>
      </w:r>
      <w:r>
        <w:t xml:space="preserve"> </w:t>
      </w:r>
      <w:r>
        <w:rPr>
          <w:b/>
          <w:bCs/>
        </w:rPr>
        <w:t xml:space="preserve">Reassessment cadence</w:t>
      </w:r>
      <w:r>
        <w:t xml:space="preserve">: routine reassessment every</w:t>
      </w:r>
      <w:r>
        <w:t xml:space="preserve"> </w:t>
      </w:r>
      <w:r>
        <w:rPr>
          <w:b/>
          <w:bCs/>
        </w:rPr>
        <w:t xml:space="preserve">3–6 months</w:t>
      </w:r>
      <w:r>
        <w:t xml:space="preserve"> </w:t>
      </w:r>
      <w:r>
        <w:t xml:space="preserve">in stable patients and</w:t>
      </w:r>
      <w:r>
        <w:t xml:space="preserve"> </w:t>
      </w:r>
      <w:r>
        <w:rPr>
          <w:b/>
          <w:bCs/>
        </w:rPr>
        <w:t xml:space="preserve">3–6 months after therapy changes</w:t>
      </w:r>
      <w:r>
        <w:t xml:space="preserve">, with additional “in case of clinical worsening” triggers (Table 17).</w:t>
      </w:r>
      <w:r>
        <w:t xml:space="preserve"> </w:t>
      </w:r>
      <w:hyperlink r:id="rId21">
        <w:r>
          <w:rPr>
            <w:rStyle w:val="Hyperlink"/>
          </w:rPr>
          <w:t xml:space="preserve">[39]</w:t>
        </w:r>
      </w:hyperlink>
    </w:p>
    <w:bookmarkEnd w:id="31"/>
    <w:bookmarkStart w:id="35" w:name="decision-thresholds-and-evidence-levels"/>
    <w:p>
      <w:pPr>
        <w:pStyle w:val="Heading3"/>
      </w:pPr>
      <w:r>
        <w:t xml:space="preserve">Decision thresholds and evidence levels</w:t>
      </w:r>
    </w:p>
    <w:p>
      <w:pPr>
        <w:pStyle w:val="FirstParagraph"/>
      </w:pPr>
      <w:r>
        <w:t xml:space="preserve">The table below lists</w:t>
      </w:r>
      <w:r>
        <w:t xml:space="preserve"> </w:t>
      </w:r>
      <w:r>
        <w:rPr>
          <w:b/>
          <w:bCs/>
        </w:rPr>
        <w:t xml:space="preserve">decision-threshold inputs</w:t>
      </w:r>
      <w:r>
        <w:t xml:space="preserve"> </w:t>
      </w:r>
      <w:r>
        <w:t xml:space="preserve">suitable for clinical decision support. Where thresholds are</w:t>
      </w:r>
      <w:r>
        <w:t xml:space="preserve"> </w:t>
      </w:r>
      <w:r>
        <w:rPr>
          <w:b/>
          <w:bCs/>
        </w:rPr>
        <w:t xml:space="preserve">prognostic cutoffs (risk stratification)</w:t>
      </w:r>
      <w:r>
        <w:t xml:space="preserve"> </w:t>
      </w:r>
      <w:r>
        <w:t xml:space="preserve">rather than direct “treat at X” rules, the evidence base is largely</w:t>
      </w:r>
      <w:r>
        <w:t xml:space="preserve"> </w:t>
      </w:r>
      <w:r>
        <w:rPr>
          <w:b/>
          <w:bCs/>
        </w:rPr>
        <w:t xml:space="preserve">registry/observational</w:t>
      </w:r>
      <w:r>
        <w:t xml:space="preserve"> </w:t>
      </w:r>
      <w:r>
        <w:t xml:space="preserve">and guideline-endorsed as part of recommended risk frameworks.</w:t>
      </w:r>
      <w:r>
        <w:t xml:space="preserve"> </w:t>
      </w:r>
      <w:hyperlink r:id="rId21">
        <w:r>
          <w:rPr>
            <w:rStyle w:val="Hyperlink"/>
          </w:rPr>
          <w:t xml:space="preserve">[40]</w:t>
        </w:r>
      </w:hyperlink>
    </w:p>
    <w:bookmarkStart w:id="34" w:name="thresholds-suitable-for-algorithm-logic"/>
    <w:p>
      <w:pPr>
        <w:pStyle w:val="Heading4"/>
      </w:pPr>
      <w:r>
        <w:t xml:space="preserve">Thresholds suitable for algorithm logic</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 domain</w:t>
            </w:r>
          </w:p>
        </w:tc>
        <w:tc>
          <w:tcPr/>
          <w:p>
            <w:pPr>
              <w:pStyle w:val="Compact"/>
            </w:pPr>
            <w:r>
              <w:t xml:space="preserve">Thresholds to implement</w:t>
            </w:r>
          </w:p>
        </w:tc>
        <w:tc>
          <w:tcPr/>
          <w:p>
            <w:pPr>
              <w:pStyle w:val="Compact"/>
            </w:pPr>
            <w:r>
              <w:t xml:space="preserve">How to use in decisions</w:t>
            </w:r>
          </w:p>
        </w:tc>
        <w:tc>
          <w:tcPr/>
          <w:p>
            <w:pPr>
              <w:pStyle w:val="Compact"/>
            </w:pPr>
            <w:r>
              <w:t xml:space="preserve">Evidence strength / guideline grading</w:t>
            </w:r>
          </w:p>
        </w:tc>
      </w:tr>
      <w:tr>
        <w:tc>
          <w:tcPr/>
          <w:p>
            <w:pPr>
              <w:pStyle w:val="Compact"/>
            </w:pPr>
            <w:r>
              <w:t xml:space="preserve">Hemodynamic PH definition</w:t>
            </w:r>
          </w:p>
        </w:tc>
        <w:tc>
          <w:tcPr/>
          <w:p>
            <w:pPr>
              <w:pStyle w:val="Compact"/>
            </w:pPr>
            <w:r>
              <w:t xml:space="preserve">PH:</w:t>
            </w:r>
            <w:r>
              <w:t xml:space="preserve"> </w:t>
            </w:r>
            <w:r>
              <w:rPr>
                <w:b/>
                <w:bCs/>
              </w:rPr>
              <w:t xml:space="preserve">mPAP &gt;20 mmHg</w:t>
            </w:r>
            <w:r>
              <w:t xml:space="preserve">; Pre-capillary:</w:t>
            </w:r>
            <w:r>
              <w:t xml:space="preserve"> </w:t>
            </w:r>
            <w:r>
              <w:rPr>
                <w:b/>
                <w:bCs/>
              </w:rPr>
              <w:t xml:space="preserve">PAWP ≤15 &amp; PVR &gt;2 WU</w:t>
            </w:r>
            <w:r>
              <w:t xml:space="preserve">; IpcPH vs CpcPH by PVR ≤2 vs &gt;2</w:t>
            </w:r>
          </w:p>
        </w:tc>
        <w:tc>
          <w:tcPr/>
          <w:p>
            <w:pPr>
              <w:pStyle w:val="Compact"/>
            </w:pPr>
            <w:r>
              <w:t xml:space="preserve">Gate targeted therapy eligibility; route to WHO-group workup</w:t>
            </w:r>
          </w:p>
        </w:tc>
        <w:tc>
          <w:tcPr/>
          <w:p>
            <w:pPr>
              <w:pStyle w:val="Compact"/>
            </w:pPr>
            <w:r>
              <w:t xml:space="preserve">ESC/ERS hemodynamic definitions (guideline standard)</w:t>
            </w:r>
            <w:r>
              <w:t xml:space="preserve"> </w:t>
            </w:r>
            <w:hyperlink r:id="rId21">
              <w:r>
                <w:rPr>
                  <w:rStyle w:val="Hyperlink"/>
                </w:rPr>
                <w:t xml:space="preserve">[1]</w:t>
              </w:r>
            </w:hyperlink>
          </w:p>
        </w:tc>
      </w:tr>
      <w:tr>
        <w:tc>
          <w:tcPr/>
          <w:p>
            <w:pPr>
              <w:pStyle w:val="Compact"/>
            </w:pPr>
            <w:r>
              <w:t xml:space="preserve">PAH baseline risk strata</w:t>
            </w:r>
          </w:p>
        </w:tc>
        <w:tc>
          <w:tcPr/>
          <w:p>
            <w:pPr>
              <w:pStyle w:val="Compact"/>
            </w:pPr>
            <w:r>
              <w:t xml:space="preserve">3-strata domains include: signs of right HF; symptom progression; syncope; WHO-FC; 6MWD; CPET; BNP/NT-proBNP; echo; cMRI; RAP/CI/SVI/SvO₂</w:t>
            </w:r>
          </w:p>
        </w:tc>
        <w:tc>
          <w:tcPr/>
          <w:p>
            <w:pPr>
              <w:pStyle w:val="Compact"/>
            </w:pPr>
            <w:r>
              <w:t xml:space="preserve">Select initial intensity of PAH therapy and need for parenteral prostacyclin</w:t>
            </w:r>
          </w:p>
        </w:tc>
        <w:tc>
          <w:tcPr/>
          <w:p>
            <w:pPr>
              <w:pStyle w:val="Compact"/>
            </w:pPr>
            <w:r>
              <w:t xml:space="preserve">ESC/ERS Table 16 (prognostic risk table; registry-informed)</w:t>
            </w:r>
            <w:r>
              <w:t xml:space="preserve"> </w:t>
            </w:r>
            <w:hyperlink r:id="rId21">
              <w:r>
                <w:rPr>
                  <w:rStyle w:val="Hyperlink"/>
                </w:rPr>
                <w:t xml:space="preserve">[41]</w:t>
              </w:r>
            </w:hyperlink>
          </w:p>
        </w:tc>
      </w:tr>
      <w:tr>
        <w:tc>
          <w:tcPr/>
          <w:p>
            <w:pPr>
              <w:pStyle w:val="Compact"/>
            </w:pPr>
            <w:r>
              <w:t xml:space="preserve">Symptoms/signs</w:t>
            </w:r>
          </w:p>
        </w:tc>
        <w:tc>
          <w:tcPr/>
          <w:p>
            <w:pPr>
              <w:pStyle w:val="Compact"/>
            </w:pPr>
            <w:r>
              <w:t xml:space="preserve">Right HF: low/intermediate</w:t>
            </w:r>
            <w:r>
              <w:t xml:space="preserve"> </w:t>
            </w:r>
            <w:r>
              <w:rPr>
                <w:b/>
                <w:bCs/>
              </w:rPr>
              <w:t xml:space="preserve">absent</w:t>
            </w:r>
            <w:r>
              <w:t xml:space="preserve">, high</w:t>
            </w:r>
            <w:r>
              <w:t xml:space="preserve"> </w:t>
            </w:r>
            <w:r>
              <w:rPr>
                <w:b/>
                <w:bCs/>
              </w:rPr>
              <w:t xml:space="preserve">present</w:t>
            </w:r>
            <w:r>
              <w:t xml:space="preserve">; progression: low</w:t>
            </w:r>
            <w:r>
              <w:t xml:space="preserve"> </w:t>
            </w:r>
            <w:r>
              <w:rPr>
                <w:b/>
                <w:bCs/>
              </w:rPr>
              <w:t xml:space="preserve">no</w:t>
            </w:r>
            <w:r>
              <w:t xml:space="preserve">, intermediate</w:t>
            </w:r>
            <w:r>
              <w:t xml:space="preserve"> </w:t>
            </w:r>
            <w:r>
              <w:rPr>
                <w:b/>
                <w:bCs/>
              </w:rPr>
              <w:t xml:space="preserve">slow</w:t>
            </w:r>
            <w:r>
              <w:t xml:space="preserve">, high</w:t>
            </w:r>
            <w:r>
              <w:t xml:space="preserve"> </w:t>
            </w:r>
            <w:r>
              <w:rPr>
                <w:b/>
                <w:bCs/>
              </w:rPr>
              <w:t xml:space="preserve">rapid</w:t>
            </w:r>
            <w:r>
              <w:t xml:space="preserve">; syncope: low</w:t>
            </w:r>
            <w:r>
              <w:t xml:space="preserve"> </w:t>
            </w:r>
            <w:r>
              <w:rPr>
                <w:b/>
                <w:bCs/>
              </w:rPr>
              <w:t xml:space="preserve">none</w:t>
            </w:r>
            <w:r>
              <w:t xml:space="preserve">, intermediate</w:t>
            </w:r>
            <w:r>
              <w:t xml:space="preserve"> </w:t>
            </w:r>
            <w:r>
              <w:rPr>
                <w:b/>
                <w:bCs/>
              </w:rPr>
              <w:t xml:space="preserve">occasional</w:t>
            </w:r>
            <w:r>
              <w:t xml:space="preserve">, high</w:t>
            </w:r>
            <w:r>
              <w:t xml:space="preserve"> </w:t>
            </w:r>
            <w:r>
              <w:rPr>
                <w:b/>
                <w:bCs/>
              </w:rPr>
              <w:t xml:space="preserve">repeated</w:t>
            </w:r>
          </w:p>
        </w:tc>
        <w:tc>
          <w:tcPr/>
          <w:p>
            <w:pPr>
              <w:pStyle w:val="Compact"/>
            </w:pPr>
            <w:r>
              <w:t xml:space="preserve">“High-risk clinical phenotype” trigger for urgent escalation</w:t>
            </w:r>
          </w:p>
        </w:tc>
        <w:tc>
          <w:tcPr/>
          <w:p>
            <w:pPr>
              <w:pStyle w:val="Compact"/>
            </w:pPr>
            <w:r>
              <w:t xml:space="preserve">ESC/ERS Table 16 prognostic strata</w:t>
            </w:r>
            <w:r>
              <w:t xml:space="preserve"> </w:t>
            </w:r>
            <w:hyperlink r:id="rId21">
              <w:r>
                <w:rPr>
                  <w:rStyle w:val="Hyperlink"/>
                </w:rPr>
                <w:t xml:space="preserve">[41]</w:t>
              </w:r>
            </w:hyperlink>
          </w:p>
        </w:tc>
      </w:tr>
      <w:tr>
        <w:tc>
          <w:tcPr/>
          <w:p>
            <w:pPr>
              <w:pStyle w:val="Compact"/>
            </w:pPr>
            <w:r>
              <w:t xml:space="preserve">WHO functional class</w:t>
            </w:r>
          </w:p>
        </w:tc>
        <w:tc>
          <w:tcPr/>
          <w:p>
            <w:pPr>
              <w:pStyle w:val="Compact"/>
            </w:pPr>
            <w:r>
              <w:t xml:space="preserve">Baseline: I–II (low), III (intermediate), IV (high); Follow-up 4-strata: I–II (low), III (intermediate-high), IV (high)</w:t>
            </w:r>
          </w:p>
        </w:tc>
        <w:tc>
          <w:tcPr/>
          <w:p>
            <w:pPr>
              <w:pStyle w:val="Compact"/>
            </w:pPr>
            <w:r>
              <w:t xml:space="preserve">Central risk variable; drives escalation and transplant referral considerations</w:t>
            </w:r>
          </w:p>
        </w:tc>
        <w:tc>
          <w:tcPr/>
          <w:p>
            <w:pPr>
              <w:pStyle w:val="Compact"/>
            </w:pPr>
            <w:r>
              <w:t xml:space="preserve">Risk table thresholds</w:t>
            </w:r>
            <w:r>
              <w:t xml:space="preserve"> </w:t>
            </w:r>
            <w:hyperlink r:id="rId21">
              <w:r>
                <w:rPr>
                  <w:rStyle w:val="Hyperlink"/>
                </w:rPr>
                <w:t xml:space="preserve">[42]</w:t>
              </w:r>
            </w:hyperlink>
          </w:p>
        </w:tc>
      </w:tr>
      <w:tr>
        <w:tc>
          <w:tcPr/>
          <w:p>
            <w:pPr>
              <w:pStyle w:val="Compact"/>
            </w:pPr>
            <w:r>
              <w:t xml:space="preserve">6-minute walk distance</w:t>
            </w:r>
          </w:p>
        </w:tc>
        <w:tc>
          <w:tcPr/>
          <w:p>
            <w:pPr>
              <w:pStyle w:val="Compact"/>
            </w:pPr>
            <w:r>
              <w:t xml:space="preserve">Baseline 3-strata:</w:t>
            </w:r>
            <w:r>
              <w:t xml:space="preserve"> </w:t>
            </w:r>
            <w:r>
              <w:rPr>
                <w:b/>
                <w:bCs/>
              </w:rPr>
              <w:t xml:space="preserve">&gt;440 m</w:t>
            </w:r>
            <w:r>
              <w:t xml:space="preserve"> </w:t>
            </w:r>
            <w:r>
              <w:t xml:space="preserve">(low),</w:t>
            </w:r>
            <w:r>
              <w:t xml:space="preserve"> </w:t>
            </w:r>
            <w:r>
              <w:rPr>
                <w:b/>
                <w:bCs/>
              </w:rPr>
              <w:t xml:space="preserve">165–440</w:t>
            </w:r>
            <w:r>
              <w:t xml:space="preserve"> </w:t>
            </w:r>
            <w:r>
              <w:t xml:space="preserve">(intermediate),</w:t>
            </w:r>
            <w:r>
              <w:t xml:space="preserve"> </w:t>
            </w:r>
            <w:r>
              <w:rPr>
                <w:b/>
                <w:bCs/>
              </w:rPr>
              <w:t xml:space="preserve">&lt;165</w:t>
            </w:r>
            <w:r>
              <w:t xml:space="preserve"> </w:t>
            </w:r>
            <w:r>
              <w:t xml:space="preserve">(high); Follow-up 4-strata:</w:t>
            </w:r>
            <w:r>
              <w:t xml:space="preserve"> </w:t>
            </w:r>
            <w:r>
              <w:rPr>
                <w:b/>
                <w:bCs/>
              </w:rPr>
              <w:t xml:space="preserve">&gt;440</w:t>
            </w:r>
            <w:r>
              <w:t xml:space="preserve">,</w:t>
            </w:r>
            <w:r>
              <w:t xml:space="preserve"> </w:t>
            </w:r>
            <w:r>
              <w:rPr>
                <w:b/>
                <w:bCs/>
              </w:rPr>
              <w:t xml:space="preserve">320–440</w:t>
            </w:r>
            <w:r>
              <w:t xml:space="preserve">,</w:t>
            </w:r>
            <w:r>
              <w:t xml:space="preserve"> </w:t>
            </w:r>
            <w:r>
              <w:rPr>
                <w:b/>
                <w:bCs/>
              </w:rPr>
              <w:t xml:space="preserve">165–319</w:t>
            </w:r>
            <w:r>
              <w:t xml:space="preserve">,</w:t>
            </w:r>
            <w:r>
              <w:t xml:space="preserve"> </w:t>
            </w:r>
            <w:r>
              <w:rPr>
                <w:b/>
                <w:bCs/>
              </w:rPr>
              <w:t xml:space="preserve">&lt;165</w:t>
            </w:r>
          </w:p>
        </w:tc>
        <w:tc>
          <w:tcPr/>
          <w:p>
            <w:pPr>
              <w:pStyle w:val="Compact"/>
            </w:pPr>
            <w:r>
              <w:t xml:space="preserve">Key follow-up trigger; intermediate-high/high supports parenteral prostacyclin and transplant pathway</w:t>
            </w:r>
          </w:p>
        </w:tc>
        <w:tc>
          <w:tcPr/>
          <w:p>
            <w:pPr>
              <w:pStyle w:val="Compact"/>
            </w:pPr>
            <w:r>
              <w:t xml:space="preserve">ESC/ERS Tables 16 &amp; 18</w:t>
            </w:r>
            <w:r>
              <w:t xml:space="preserve"> </w:t>
            </w:r>
            <w:hyperlink r:id="rId21">
              <w:r>
                <w:rPr>
                  <w:rStyle w:val="Hyperlink"/>
                </w:rPr>
                <w:t xml:space="preserve">[43]</w:t>
              </w:r>
            </w:hyperlink>
          </w:p>
        </w:tc>
      </w:tr>
      <w:tr>
        <w:tc>
          <w:tcPr/>
          <w:p>
            <w:pPr>
              <w:pStyle w:val="Compact"/>
            </w:pPr>
            <w:r>
              <w:t xml:space="preserve">BNP / NT-proBNP (risk cutoffs)</w:t>
            </w:r>
          </w:p>
        </w:tc>
        <w:tc>
          <w:tcPr/>
          <w:p>
            <w:pPr>
              <w:pStyle w:val="Compact"/>
            </w:pPr>
            <w:r>
              <w:t xml:space="preserve">Baseline 3-strata (ESC/ERS Table 16): BNP</w:t>
            </w:r>
            <w:r>
              <w:t xml:space="preserve"> </w:t>
            </w:r>
            <w:r>
              <w:rPr>
                <w:b/>
                <w:bCs/>
              </w:rPr>
              <w:t xml:space="preserve">&lt;50</w:t>
            </w:r>
            <w:r>
              <w:t xml:space="preserve">,</w:t>
            </w:r>
            <w:r>
              <w:t xml:space="preserve"> </w:t>
            </w:r>
            <w:r>
              <w:rPr>
                <w:b/>
                <w:bCs/>
              </w:rPr>
              <w:t xml:space="preserve">50–800</w:t>
            </w:r>
            <w:r>
              <w:t xml:space="preserve">,</w:t>
            </w:r>
            <w:r>
              <w:t xml:space="preserve"> </w:t>
            </w:r>
            <w:r>
              <w:rPr>
                <w:b/>
                <w:bCs/>
              </w:rPr>
              <w:t xml:space="preserve">&gt;800</w:t>
            </w:r>
            <w:r>
              <w:t xml:space="preserve">; NT-proBNP</w:t>
            </w:r>
            <w:r>
              <w:t xml:space="preserve"> </w:t>
            </w:r>
            <w:r>
              <w:rPr>
                <w:b/>
                <w:bCs/>
              </w:rPr>
              <w:t xml:space="preserve">&lt;300</w:t>
            </w:r>
            <w:r>
              <w:t xml:space="preserve">,</w:t>
            </w:r>
            <w:r>
              <w:t xml:space="preserve"> </w:t>
            </w:r>
            <w:r>
              <w:rPr>
                <w:b/>
                <w:bCs/>
              </w:rPr>
              <w:t xml:space="preserve">300–1100</w:t>
            </w:r>
            <w:r>
              <w:t xml:space="preserve">,</w:t>
            </w:r>
            <w:r>
              <w:t xml:space="preserve"> </w:t>
            </w:r>
            <w:r>
              <w:rPr>
                <w:b/>
                <w:bCs/>
              </w:rPr>
              <w:t xml:space="preserve">&gt;1100</w:t>
            </w:r>
            <w:r>
              <w:t xml:space="preserve"> </w:t>
            </w:r>
            <w:r>
              <w:t xml:space="preserve">(ng/L)</w:t>
            </w:r>
          </w:p>
        </w:tc>
        <w:tc>
          <w:tcPr/>
          <w:p>
            <w:pPr>
              <w:pStyle w:val="Compact"/>
            </w:pPr>
            <w:r>
              <w:t xml:space="preserve">Major escalation trigger; integrate with WHO-FC and 6MWD</w:t>
            </w:r>
          </w:p>
        </w:tc>
        <w:tc>
          <w:tcPr/>
          <w:p>
            <w:pPr>
              <w:pStyle w:val="Compact"/>
            </w:pPr>
            <w:r>
              <w:t xml:space="preserve">ESC/ERS Table 16; refined 4-strata cutoffs in Table 18</w:t>
            </w:r>
            <w:r>
              <w:t xml:space="preserve"> </w:t>
            </w:r>
            <w:hyperlink r:id="rId21">
              <w:r>
                <w:rPr>
                  <w:rStyle w:val="Hyperlink"/>
                </w:rPr>
                <w:t xml:space="preserve">[44]</w:t>
              </w:r>
            </w:hyperlink>
          </w:p>
        </w:tc>
      </w:tr>
      <w:tr>
        <w:tc>
          <w:tcPr/>
          <w:p>
            <w:pPr>
              <w:pStyle w:val="Compact"/>
            </w:pPr>
            <w:r>
              <w:t xml:space="preserve">BNP / NT-proBNP (follow-up 4 strata)</w:t>
            </w:r>
          </w:p>
        </w:tc>
        <w:tc>
          <w:tcPr/>
          <w:p>
            <w:pPr>
              <w:pStyle w:val="Compact"/>
            </w:pPr>
            <w:r>
              <w:t xml:space="preserve">BNP:</w:t>
            </w:r>
            <w:r>
              <w:t xml:space="preserve"> </w:t>
            </w:r>
            <w:r>
              <w:rPr>
                <w:b/>
                <w:bCs/>
              </w:rPr>
              <w:t xml:space="preserve">&lt;50</w:t>
            </w:r>
            <w:r>
              <w:t xml:space="preserve">,</w:t>
            </w:r>
            <w:r>
              <w:t xml:space="preserve"> </w:t>
            </w:r>
            <w:r>
              <w:rPr>
                <w:b/>
                <w:bCs/>
              </w:rPr>
              <w:t xml:space="preserve">50–199</w:t>
            </w:r>
            <w:r>
              <w:t xml:space="preserve">,</w:t>
            </w:r>
            <w:r>
              <w:t xml:space="preserve"> </w:t>
            </w:r>
            <w:r>
              <w:rPr>
                <w:b/>
                <w:bCs/>
              </w:rPr>
              <w:t xml:space="preserve">200–800</w:t>
            </w:r>
            <w:r>
              <w:t xml:space="preserve">,</w:t>
            </w:r>
            <w:r>
              <w:t xml:space="preserve"> </w:t>
            </w:r>
            <w:r>
              <w:rPr>
                <w:b/>
                <w:bCs/>
              </w:rPr>
              <w:t xml:space="preserve">&gt;800</w:t>
            </w:r>
            <w:r>
              <w:t xml:space="preserve">; NT-proBNP:</w:t>
            </w:r>
            <w:r>
              <w:t xml:space="preserve"> </w:t>
            </w:r>
            <w:r>
              <w:rPr>
                <w:b/>
                <w:bCs/>
              </w:rPr>
              <w:t xml:space="preserve">&lt;300</w:t>
            </w:r>
            <w:r>
              <w:t xml:space="preserve">,</w:t>
            </w:r>
            <w:r>
              <w:t xml:space="preserve"> </w:t>
            </w:r>
            <w:r>
              <w:rPr>
                <w:b/>
                <w:bCs/>
              </w:rPr>
              <w:t xml:space="preserve">300–649</w:t>
            </w:r>
            <w:r>
              <w:t xml:space="preserve">,</w:t>
            </w:r>
            <w:r>
              <w:t xml:space="preserve"> </w:t>
            </w:r>
            <w:r>
              <w:rPr>
                <w:b/>
                <w:bCs/>
              </w:rPr>
              <w:t xml:space="preserve">650–1100</w:t>
            </w:r>
            <w:r>
              <w:t xml:space="preserve">,</w:t>
            </w:r>
            <w:r>
              <w:t xml:space="preserve"> </w:t>
            </w:r>
            <w:r>
              <w:rPr>
                <w:b/>
                <w:bCs/>
              </w:rPr>
              <w:t xml:space="preserve">&gt;1100</w:t>
            </w:r>
            <w:r>
              <w:t xml:space="preserve"> </w:t>
            </w:r>
            <w:r>
              <w:t xml:space="preserve">(ng/L)</w:t>
            </w:r>
          </w:p>
        </w:tc>
        <w:tc>
          <w:tcPr/>
          <w:p>
            <w:pPr>
              <w:pStyle w:val="Compact"/>
            </w:pPr>
            <w:r>
              <w:t xml:space="preserve">If not low risk after adequate time on therapy, escalate</w:t>
            </w:r>
          </w:p>
        </w:tc>
        <w:tc>
          <w:tcPr/>
          <w:p>
            <w:pPr>
              <w:pStyle w:val="Compact"/>
            </w:pPr>
            <w:r>
              <w:t xml:space="preserve">ESC/ERS Table 18 and accompanying rationale</w:t>
            </w:r>
            <w:r>
              <w:t xml:space="preserve"> </w:t>
            </w:r>
            <w:hyperlink r:id="rId21">
              <w:r>
                <w:rPr>
                  <w:rStyle w:val="Hyperlink"/>
                </w:rPr>
                <w:t xml:space="preserve">[45]</w:t>
              </w:r>
            </w:hyperlink>
          </w:p>
        </w:tc>
      </w:tr>
      <w:tr>
        <w:tc>
          <w:tcPr/>
          <w:p>
            <w:pPr>
              <w:pStyle w:val="Compact"/>
            </w:pPr>
            <w:r>
              <w:t xml:space="preserve">CPET</w:t>
            </w:r>
          </w:p>
        </w:tc>
        <w:tc>
          <w:tcPr/>
          <w:p>
            <w:pPr>
              <w:pStyle w:val="Compact"/>
            </w:pPr>
            <w:r>
              <w:t xml:space="preserve">Peak VO₂:</w:t>
            </w:r>
            <w:r>
              <w:t xml:space="preserve"> </w:t>
            </w:r>
            <w:r>
              <w:rPr>
                <w:b/>
                <w:bCs/>
              </w:rPr>
              <w:t xml:space="preserve">&gt;15</w:t>
            </w:r>
            <w:r>
              <w:t xml:space="preserve">,</w:t>
            </w:r>
            <w:r>
              <w:t xml:space="preserve"> </w:t>
            </w:r>
            <w:r>
              <w:rPr>
                <w:b/>
                <w:bCs/>
              </w:rPr>
              <w:t xml:space="preserve">11–15</w:t>
            </w:r>
            <w:r>
              <w:t xml:space="preserve">,</w:t>
            </w:r>
            <w:r>
              <w:t xml:space="preserve"> </w:t>
            </w:r>
            <w:r>
              <w:rPr>
                <w:b/>
                <w:bCs/>
              </w:rPr>
              <w:t xml:space="preserve">&lt;11 mL/kg/min</w:t>
            </w:r>
            <w:r>
              <w:t xml:space="preserve">; VE/VCO₂ slope:</w:t>
            </w:r>
            <w:r>
              <w:t xml:space="preserve"> </w:t>
            </w:r>
            <w:r>
              <w:rPr>
                <w:b/>
                <w:bCs/>
              </w:rPr>
              <w:t xml:space="preserve">&lt;36</w:t>
            </w:r>
            <w:r>
              <w:t xml:space="preserve">,</w:t>
            </w:r>
            <w:r>
              <w:t xml:space="preserve"> </w:t>
            </w:r>
            <w:r>
              <w:rPr>
                <w:b/>
                <w:bCs/>
              </w:rPr>
              <w:t xml:space="preserve">36–44</w:t>
            </w:r>
            <w:r>
              <w:t xml:space="preserve">,</w:t>
            </w:r>
            <w:r>
              <w:t xml:space="preserve"> </w:t>
            </w:r>
            <w:r>
              <w:rPr>
                <w:b/>
                <w:bCs/>
              </w:rPr>
              <w:t xml:space="preserve">&gt;44</w:t>
            </w:r>
          </w:p>
        </w:tc>
        <w:tc>
          <w:tcPr/>
          <w:p>
            <w:pPr>
              <w:pStyle w:val="Compact"/>
            </w:pPr>
            <w:r>
              <w:t xml:space="preserve">Adds prognostic signal; useful especially when 6MWD has ceiling/floor issues</w:t>
            </w:r>
          </w:p>
        </w:tc>
        <w:tc>
          <w:tcPr/>
          <w:p>
            <w:pPr>
              <w:pStyle w:val="Compact"/>
            </w:pPr>
            <w:r>
              <w:t xml:space="preserve">ESC/ERS Table 16 (prognostic)</w:t>
            </w:r>
            <w:r>
              <w:t xml:space="preserve"> </w:t>
            </w:r>
            <w:hyperlink r:id="rId21">
              <w:r>
                <w:rPr>
                  <w:rStyle w:val="Hyperlink"/>
                </w:rPr>
                <w:t xml:space="preserve">[41]</w:t>
              </w:r>
            </w:hyperlink>
          </w:p>
        </w:tc>
      </w:tr>
      <w:tr>
        <w:tc>
          <w:tcPr/>
          <w:p>
            <w:pPr>
              <w:pStyle w:val="Compact"/>
            </w:pPr>
            <w:r>
              <w:t xml:space="preserve">Echocardiography (selected high-yield)</w:t>
            </w:r>
          </w:p>
        </w:tc>
        <w:tc>
          <w:tcPr/>
          <w:p>
            <w:pPr>
              <w:pStyle w:val="Compact"/>
            </w:pPr>
            <w:r>
              <w:t xml:space="preserve">RA area:</w:t>
            </w:r>
            <w:r>
              <w:t xml:space="preserve"> </w:t>
            </w:r>
            <w:r>
              <w:rPr>
                <w:b/>
                <w:bCs/>
              </w:rPr>
              <w:t xml:space="preserve">&lt;18</w:t>
            </w:r>
            <w:r>
              <w:t xml:space="preserve">,</w:t>
            </w:r>
            <w:r>
              <w:t xml:space="preserve"> </w:t>
            </w:r>
            <w:r>
              <w:rPr>
                <w:b/>
                <w:bCs/>
              </w:rPr>
              <w:t xml:space="preserve">18–26</w:t>
            </w:r>
            <w:r>
              <w:t xml:space="preserve">,</w:t>
            </w:r>
            <w:r>
              <w:t xml:space="preserve"> </w:t>
            </w:r>
            <w:r>
              <w:rPr>
                <w:b/>
                <w:bCs/>
              </w:rPr>
              <w:t xml:space="preserve">&gt;26 cm²</w:t>
            </w:r>
            <w:r>
              <w:t xml:space="preserve">; TAPSE/sPAP:</w:t>
            </w:r>
            <w:r>
              <w:t xml:space="preserve"> </w:t>
            </w:r>
            <w:r>
              <w:rPr>
                <w:b/>
                <w:bCs/>
              </w:rPr>
              <w:t xml:space="preserve">&gt;0.32</w:t>
            </w:r>
            <w:r>
              <w:t xml:space="preserve">,</w:t>
            </w:r>
            <w:r>
              <w:t xml:space="preserve"> </w:t>
            </w:r>
            <w:r>
              <w:rPr>
                <w:b/>
                <w:bCs/>
              </w:rPr>
              <w:t xml:space="preserve">0.19–0.32</w:t>
            </w:r>
            <w:r>
              <w:t xml:space="preserve">,</w:t>
            </w:r>
            <w:r>
              <w:t xml:space="preserve"> </w:t>
            </w:r>
            <w:r>
              <w:rPr>
                <w:b/>
                <w:bCs/>
              </w:rPr>
              <w:t xml:space="preserve">&lt;0.19</w:t>
            </w:r>
            <w:r>
              <w:t xml:space="preserve">; pericardial effusion: none/minimal vs moderate/large</w:t>
            </w:r>
          </w:p>
        </w:tc>
        <w:tc>
          <w:tcPr/>
          <w:p>
            <w:pPr>
              <w:pStyle w:val="Compact"/>
            </w:pPr>
            <w:r>
              <w:t xml:space="preserve">Escalation trigger when worsening RV function present</w:t>
            </w:r>
          </w:p>
        </w:tc>
        <w:tc>
          <w:tcPr/>
          <w:p>
            <w:pPr>
              <w:pStyle w:val="Compact"/>
            </w:pPr>
            <w:r>
              <w:t xml:space="preserve">ESC/ERS Table 16</w:t>
            </w:r>
            <w:r>
              <w:t xml:space="preserve"> </w:t>
            </w:r>
            <w:hyperlink r:id="rId21">
              <w:r>
                <w:rPr>
                  <w:rStyle w:val="Hyperlink"/>
                </w:rPr>
                <w:t xml:space="preserve">[41]</w:t>
              </w:r>
            </w:hyperlink>
          </w:p>
        </w:tc>
      </w:tr>
      <w:tr>
        <w:tc>
          <w:tcPr/>
          <w:p>
            <w:pPr>
              <w:pStyle w:val="Compact"/>
            </w:pPr>
            <w:r>
              <w:t xml:space="preserve">cMRI (if available)</w:t>
            </w:r>
          </w:p>
        </w:tc>
        <w:tc>
          <w:tcPr/>
          <w:p>
            <w:pPr>
              <w:pStyle w:val="Compact"/>
            </w:pPr>
            <w:r>
              <w:t xml:space="preserve">RVEF:</w:t>
            </w:r>
            <w:r>
              <w:t xml:space="preserve"> </w:t>
            </w:r>
            <w:r>
              <w:rPr>
                <w:b/>
                <w:bCs/>
              </w:rPr>
              <w:t xml:space="preserve">&gt;54%</w:t>
            </w:r>
            <w:r>
              <w:t xml:space="preserve">,</w:t>
            </w:r>
            <w:r>
              <w:t xml:space="preserve"> </w:t>
            </w:r>
            <w:r>
              <w:rPr>
                <w:b/>
                <w:bCs/>
              </w:rPr>
              <w:t xml:space="preserve">37–54%</w:t>
            </w:r>
            <w:r>
              <w:t xml:space="preserve">,</w:t>
            </w:r>
            <w:r>
              <w:t xml:space="preserve"> </w:t>
            </w:r>
            <w:r>
              <w:rPr>
                <w:b/>
                <w:bCs/>
              </w:rPr>
              <w:t xml:space="preserve">&lt;37%</w:t>
            </w:r>
            <w:r>
              <w:t xml:space="preserve">; SVI:</w:t>
            </w:r>
            <w:r>
              <w:t xml:space="preserve"> </w:t>
            </w:r>
            <w:r>
              <w:rPr>
                <w:b/>
                <w:bCs/>
              </w:rPr>
              <w:t xml:space="preserve">&gt;40</w:t>
            </w:r>
            <w:r>
              <w:t xml:space="preserve">,</w:t>
            </w:r>
            <w:r>
              <w:t xml:space="preserve"> </w:t>
            </w:r>
            <w:r>
              <w:rPr>
                <w:b/>
                <w:bCs/>
              </w:rPr>
              <w:t xml:space="preserve">26–40</w:t>
            </w:r>
            <w:r>
              <w:t xml:space="preserve">,</w:t>
            </w:r>
            <w:r>
              <w:t xml:space="preserve"> </w:t>
            </w:r>
            <w:r>
              <w:rPr>
                <w:b/>
                <w:bCs/>
              </w:rPr>
              <w:t xml:space="preserve">&lt;26 mL/m²</w:t>
            </w:r>
            <w:r>
              <w:t xml:space="preserve">; RVESVI:</w:t>
            </w:r>
            <w:r>
              <w:t xml:space="preserve"> </w:t>
            </w:r>
            <w:r>
              <w:rPr>
                <w:b/>
                <w:bCs/>
              </w:rPr>
              <w:t xml:space="preserve">&lt;42</w:t>
            </w:r>
            <w:r>
              <w:t xml:space="preserve">,</w:t>
            </w:r>
            <w:r>
              <w:t xml:space="preserve"> </w:t>
            </w:r>
            <w:r>
              <w:rPr>
                <w:b/>
                <w:bCs/>
              </w:rPr>
              <w:t xml:space="preserve">42–54</w:t>
            </w:r>
            <w:r>
              <w:t xml:space="preserve">,</w:t>
            </w:r>
            <w:r>
              <w:t xml:space="preserve"> </w:t>
            </w:r>
            <w:r>
              <w:rPr>
                <w:b/>
                <w:bCs/>
              </w:rPr>
              <w:t xml:space="preserve">&gt;54 mL/m²</w:t>
            </w:r>
          </w:p>
        </w:tc>
        <w:tc>
          <w:tcPr/>
          <w:p>
            <w:pPr>
              <w:pStyle w:val="Compact"/>
            </w:pPr>
            <w:r>
              <w:t xml:space="preserve">Optional escalation trigger and phenotyping; helps in intermediate-risk discrimination</w:t>
            </w:r>
          </w:p>
        </w:tc>
        <w:tc>
          <w:tcPr/>
          <w:p>
            <w:pPr>
              <w:pStyle w:val="Compact"/>
            </w:pPr>
            <w:r>
              <w:t xml:space="preserve">ESC/ERS Table 16; imaging role in follow-up</w:t>
            </w:r>
            <w:r>
              <w:t xml:space="preserve"> </w:t>
            </w:r>
            <w:hyperlink r:id="rId21">
              <w:r>
                <w:rPr>
                  <w:rStyle w:val="Hyperlink"/>
                </w:rPr>
                <w:t xml:space="preserve">[46]</w:t>
              </w:r>
            </w:hyperlink>
          </w:p>
        </w:tc>
      </w:tr>
      <w:tr>
        <w:tc>
          <w:tcPr/>
          <w:p>
            <w:pPr>
              <w:pStyle w:val="Compact"/>
            </w:pPr>
            <w:r>
              <w:t xml:space="preserve">Hemodynamics for prognosis</w:t>
            </w:r>
          </w:p>
        </w:tc>
        <w:tc>
          <w:tcPr/>
          <w:p>
            <w:pPr>
              <w:pStyle w:val="Compact"/>
            </w:pPr>
            <w:r>
              <w:t xml:space="preserve">RAP:</w:t>
            </w:r>
            <w:r>
              <w:t xml:space="preserve"> </w:t>
            </w:r>
            <w:r>
              <w:rPr>
                <w:b/>
                <w:bCs/>
              </w:rPr>
              <w:t xml:space="preserve">&lt;8</w:t>
            </w:r>
            <w:r>
              <w:t xml:space="preserve">,</w:t>
            </w:r>
            <w:r>
              <w:t xml:space="preserve"> </w:t>
            </w:r>
            <w:r>
              <w:rPr>
                <w:b/>
                <w:bCs/>
              </w:rPr>
              <w:t xml:space="preserve">8–14</w:t>
            </w:r>
            <w:r>
              <w:t xml:space="preserve">,</w:t>
            </w:r>
            <w:r>
              <w:t xml:space="preserve"> </w:t>
            </w:r>
            <w:r>
              <w:rPr>
                <w:b/>
                <w:bCs/>
              </w:rPr>
              <w:t xml:space="preserve">&gt;14 mmHg</w:t>
            </w:r>
            <w:r>
              <w:t xml:space="preserve">; CI:</w:t>
            </w:r>
            <w:r>
              <w:t xml:space="preserve"> </w:t>
            </w:r>
            <w:r>
              <w:rPr>
                <w:b/>
                <w:bCs/>
              </w:rPr>
              <w:t xml:space="preserve">≥2.5</w:t>
            </w:r>
            <w:r>
              <w:t xml:space="preserve">,</w:t>
            </w:r>
            <w:r>
              <w:t xml:space="preserve"> </w:t>
            </w:r>
            <w:r>
              <w:rPr>
                <w:b/>
                <w:bCs/>
              </w:rPr>
              <w:t xml:space="preserve">2.0–2.4</w:t>
            </w:r>
            <w:r>
              <w:t xml:space="preserve">,</w:t>
            </w:r>
            <w:r>
              <w:t xml:space="preserve"> </w:t>
            </w:r>
            <w:r>
              <w:rPr>
                <w:b/>
                <w:bCs/>
              </w:rPr>
              <w:t xml:space="preserve">&lt;2.0 L/min/m²</w:t>
            </w:r>
            <w:r>
              <w:t xml:space="preserve">; SvO₂:</w:t>
            </w:r>
            <w:r>
              <w:t xml:space="preserve"> </w:t>
            </w:r>
            <w:r>
              <w:rPr>
                <w:b/>
                <w:bCs/>
              </w:rPr>
              <w:t xml:space="preserve">&gt;65%</w:t>
            </w:r>
            <w:r>
              <w:t xml:space="preserve">,</w:t>
            </w:r>
            <w:r>
              <w:t xml:space="preserve"> </w:t>
            </w:r>
            <w:r>
              <w:rPr>
                <w:b/>
                <w:bCs/>
              </w:rPr>
              <w:t xml:space="preserve">60–65%</w:t>
            </w:r>
            <w:r>
              <w:t xml:space="preserve">,</w:t>
            </w:r>
            <w:r>
              <w:t xml:space="preserve"> </w:t>
            </w:r>
            <w:r>
              <w:rPr>
                <w:b/>
                <w:bCs/>
              </w:rPr>
              <w:t xml:space="preserve">&lt;60%</w:t>
            </w:r>
            <w:r>
              <w:t xml:space="preserve">; SVI:</w:t>
            </w:r>
            <w:r>
              <w:t xml:space="preserve"> </w:t>
            </w:r>
            <w:r>
              <w:rPr>
                <w:b/>
                <w:bCs/>
              </w:rPr>
              <w:t xml:space="preserve">&gt;38</w:t>
            </w:r>
            <w:r>
              <w:t xml:space="preserve">,</w:t>
            </w:r>
            <w:r>
              <w:t xml:space="preserve"> </w:t>
            </w:r>
            <w:r>
              <w:rPr>
                <w:b/>
                <w:bCs/>
              </w:rPr>
              <w:t xml:space="preserve">31–38</w:t>
            </w:r>
            <w:r>
              <w:t xml:space="preserve">,</w:t>
            </w:r>
            <w:r>
              <w:t xml:space="preserve"> </w:t>
            </w:r>
            <w:r>
              <w:rPr>
                <w:b/>
                <w:bCs/>
              </w:rPr>
              <w:t xml:space="preserve">&lt;31 mL/m²</w:t>
            </w:r>
          </w:p>
        </w:tc>
        <w:tc>
          <w:tcPr/>
          <w:p>
            <w:pPr>
              <w:pStyle w:val="Compact"/>
            </w:pPr>
            <w:r>
              <w:t xml:space="preserve">High-risk hemodynamics at baseline or follow-up strongly push toward parenteral prostacyclin and transplant pathway</w:t>
            </w:r>
          </w:p>
        </w:tc>
        <w:tc>
          <w:tcPr/>
          <w:p>
            <w:pPr>
              <w:pStyle w:val="Compact"/>
            </w:pPr>
            <w:r>
              <w:t xml:space="preserve">ESC/ERS Table 16 and escalation discussion</w:t>
            </w:r>
            <w:r>
              <w:t xml:space="preserve"> </w:t>
            </w:r>
            <w:hyperlink r:id="rId21">
              <w:r>
                <w:rPr>
                  <w:rStyle w:val="Hyperlink"/>
                </w:rPr>
                <w:t xml:space="preserve">[47]</w:t>
              </w:r>
            </w:hyperlink>
          </w:p>
        </w:tc>
      </w:tr>
      <w:tr>
        <w:tc>
          <w:tcPr/>
          <w:p>
            <w:pPr>
              <w:pStyle w:val="Compact"/>
            </w:pPr>
            <w:r>
              <w:t xml:space="preserve">Acute vasoreactivity testing</w:t>
            </w:r>
          </w:p>
        </w:tc>
        <w:tc>
          <w:tcPr/>
          <w:p>
            <w:pPr>
              <w:pStyle w:val="Compact"/>
            </w:pPr>
            <w:r>
              <w:t xml:space="preserve">Positive response:</w:t>
            </w:r>
            <w:r>
              <w:t xml:space="preserve"> </w:t>
            </w:r>
            <w:r>
              <w:rPr>
                <w:b/>
                <w:bCs/>
              </w:rPr>
              <w:t xml:space="preserve">mPAP drop ≥10 to ≤40</w:t>
            </w:r>
            <w:r>
              <w:t xml:space="preserve"> </w:t>
            </w:r>
            <w:r>
              <w:t xml:space="preserve">with</w:t>
            </w:r>
            <w:r>
              <w:t xml:space="preserve"> </w:t>
            </w:r>
            <w:r>
              <w:rPr>
                <w:b/>
                <w:bCs/>
              </w:rPr>
              <w:t xml:space="preserve">unchanged/increased CO</w:t>
            </w:r>
          </w:p>
        </w:tc>
        <w:tc>
          <w:tcPr/>
          <w:p>
            <w:pPr>
              <w:pStyle w:val="Compact"/>
            </w:pPr>
            <w:r>
              <w:t xml:space="preserve">If positive (typically IPAH/HPAH/DPAH), trial high-dose CCB; otherwise treat as non-vasoreactive</w:t>
            </w:r>
          </w:p>
        </w:tc>
        <w:tc>
          <w:tcPr/>
          <w:p>
            <w:pPr>
              <w:pStyle w:val="Compact"/>
            </w:pPr>
            <w:r>
              <w:t xml:space="preserve">ESC/ERS vasoreactivity criterion and CCB pathway</w:t>
            </w:r>
            <w:r>
              <w:t xml:space="preserve"> </w:t>
            </w:r>
            <w:hyperlink r:id="rId21">
              <w:r>
                <w:rPr>
                  <w:rStyle w:val="Hyperlink"/>
                </w:rPr>
                <w:t xml:space="preserve">[48]</w:t>
              </w:r>
            </w:hyperlink>
          </w:p>
        </w:tc>
      </w:tr>
      <w:tr>
        <w:tc>
          <w:tcPr/>
          <w:p>
            <w:pPr>
              <w:pStyle w:val="Compact"/>
            </w:pPr>
            <w:r>
              <w:t xml:space="preserve">Durable CCB responder definition</w:t>
            </w:r>
          </w:p>
        </w:tc>
        <w:tc>
          <w:tcPr/>
          <w:p>
            <w:pPr>
              <w:pStyle w:val="Compact"/>
            </w:pPr>
            <w:r>
              <w:t xml:space="preserve">Continue high-dose CCB only if WHO-FC I–II with marked hemodynamic improvement (mPAP</w:t>
            </w:r>
            <w:r>
              <w:t xml:space="preserve"> </w:t>
            </w:r>
            <w:r>
              <w:rPr>
                <w:b/>
                <w:bCs/>
              </w:rPr>
              <w:t xml:space="preserve">&lt;30</w:t>
            </w:r>
            <w:r>
              <w:t xml:space="preserve">, PVR</w:t>
            </w:r>
            <w:r>
              <w:t xml:space="preserve"> </w:t>
            </w:r>
            <w:r>
              <w:rPr>
                <w:b/>
                <w:bCs/>
              </w:rPr>
              <w:t xml:space="preserve">&lt;4 WU</w:t>
            </w:r>
            <w:r>
              <w:t xml:space="preserve">)</w:t>
            </w:r>
          </w:p>
        </w:tc>
        <w:tc>
          <w:tcPr/>
          <w:p>
            <w:pPr>
              <w:pStyle w:val="Compact"/>
            </w:pPr>
            <w:r>
              <w:t xml:space="preserve">If inadequate long-term response, proceed to standard PAH algorithm</w:t>
            </w:r>
          </w:p>
        </w:tc>
        <w:tc>
          <w:tcPr/>
          <w:p>
            <w:pPr>
              <w:pStyle w:val="Compact"/>
            </w:pPr>
            <w:r>
              <w:t xml:space="preserve">ESC/ERS Recommendation Table 7 (Class I for continuation; IIa for continuing CCB when adding PAH therapy)</w:t>
            </w:r>
            <w:r>
              <w:t xml:space="preserve"> </w:t>
            </w:r>
            <w:hyperlink r:id="rId21">
              <w:r>
                <w:rPr>
                  <w:rStyle w:val="Hyperlink"/>
                </w:rPr>
                <w:t xml:space="preserve">[49]</w:t>
              </w:r>
            </w:hyperlink>
          </w:p>
        </w:tc>
      </w:tr>
      <w:tr>
        <w:tc>
          <w:tcPr/>
          <w:p>
            <w:pPr>
              <w:pStyle w:val="Compact"/>
            </w:pPr>
            <w:r>
              <w:t xml:space="preserve">PAH initial therapy (no major comorbidities)</w:t>
            </w:r>
          </w:p>
        </w:tc>
        <w:tc>
          <w:tcPr/>
          <w:p>
            <w:pPr>
              <w:pStyle w:val="Compact"/>
            </w:pPr>
            <w:r>
              <w:t xml:space="preserve">Low/intermediate risk →</w:t>
            </w:r>
            <w:r>
              <w:t xml:space="preserve"> </w:t>
            </w:r>
            <w:r>
              <w:rPr>
                <w:b/>
                <w:bCs/>
              </w:rPr>
              <w:t xml:space="preserve">ERA + PDE5i recommended</w:t>
            </w:r>
          </w:p>
        </w:tc>
        <w:tc>
          <w:tcPr/>
          <w:p>
            <w:pPr>
              <w:pStyle w:val="Compact"/>
            </w:pPr>
            <w:r>
              <w:t xml:space="preserve">Start dual therapy early in appropriate PAH; do not wait for deterioration</w:t>
            </w:r>
          </w:p>
        </w:tc>
        <w:tc>
          <w:tcPr/>
          <w:p>
            <w:pPr>
              <w:pStyle w:val="Compact"/>
            </w:pPr>
            <w:r>
              <w:t xml:space="preserve">ESC/ERS Recommendation Table 8B (Class I, Level B; conditional, low quality evidence in GRADE labeling)</w:t>
            </w:r>
            <w:r>
              <w:t xml:space="preserve"> </w:t>
            </w:r>
            <w:hyperlink r:id="rId21">
              <w:r>
                <w:rPr>
                  <w:rStyle w:val="Hyperlink"/>
                </w:rPr>
                <w:t xml:space="preserve">[7]</w:t>
              </w:r>
            </w:hyperlink>
          </w:p>
        </w:tc>
      </w:tr>
      <w:tr>
        <w:tc>
          <w:tcPr/>
          <w:p>
            <w:pPr>
              <w:pStyle w:val="Compact"/>
            </w:pPr>
            <w:r>
              <w:t xml:space="preserve">PAH initial therapy (high risk)</w:t>
            </w:r>
          </w:p>
        </w:tc>
        <w:tc>
          <w:tcPr/>
          <w:p>
            <w:pPr>
              <w:pStyle w:val="Compact"/>
            </w:pPr>
            <w:r>
              <w:t xml:space="preserve">High risk → initial combination including</w:t>
            </w:r>
            <w:r>
              <w:t xml:space="preserve"> </w:t>
            </w:r>
            <w:r>
              <w:rPr>
                <w:b/>
                <w:bCs/>
              </w:rPr>
              <w:t xml:space="preserve">IV/SC prostacyclin + ERA + PDE5i</w:t>
            </w:r>
          </w:p>
        </w:tc>
        <w:tc>
          <w:tcPr/>
          <w:p>
            <w:pPr>
              <w:pStyle w:val="Compact"/>
            </w:pPr>
            <w:r>
              <w:t xml:space="preserve">“Start high” strategy for high-risk; inpatient initiation commonly needed</w:t>
            </w:r>
          </w:p>
        </w:tc>
        <w:tc>
          <w:tcPr/>
          <w:p>
            <w:pPr>
              <w:pStyle w:val="Compact"/>
            </w:pPr>
            <w:r>
              <w:t xml:space="preserve">ESC/ERS Recommendation Table 8A (Class IIa, Level C)</w:t>
            </w:r>
            <w:r>
              <w:t xml:space="preserve"> </w:t>
            </w:r>
            <w:hyperlink r:id="rId21">
              <w:r>
                <w:rPr>
                  <w:rStyle w:val="Hyperlink"/>
                </w:rPr>
                <w:t xml:space="preserve">[50]</w:t>
              </w:r>
            </w:hyperlink>
          </w:p>
        </w:tc>
      </w:tr>
      <w:tr>
        <w:tc>
          <w:tcPr/>
          <w:p>
            <w:pPr>
              <w:pStyle w:val="Compact"/>
            </w:pPr>
            <w:r>
              <w:t xml:space="preserve">Escalation at follow-up on ERA/PDE5i</w:t>
            </w:r>
          </w:p>
        </w:tc>
        <w:tc>
          <w:tcPr/>
          <w:p>
            <w:pPr>
              <w:pStyle w:val="Compact"/>
            </w:pPr>
            <w:r>
              <w:t xml:space="preserve">Intermediate-low risk → add selexipag (IIa B) and/or consider PDE5i→riociguat switch (IIb B); Intermediate-high/high → add IV/SC prostacyclin + refer for transplant eval (IIa C)</w:t>
            </w:r>
          </w:p>
        </w:tc>
        <w:tc>
          <w:tcPr/>
          <w:p>
            <w:pPr>
              <w:pStyle w:val="Compact"/>
            </w:pPr>
            <w:r>
              <w:t xml:space="preserve">This is the core escalation engine in PAH</w:t>
            </w:r>
          </w:p>
        </w:tc>
        <w:tc>
          <w:tcPr/>
          <w:p>
            <w:pPr>
              <w:pStyle w:val="Compact"/>
            </w:pPr>
            <w:r>
              <w:t xml:space="preserve">ESC/ERS Recommendation Table 8A and escalation text</w:t>
            </w:r>
            <w:r>
              <w:t xml:space="preserve"> </w:t>
            </w:r>
            <w:hyperlink r:id="rId21">
              <w:r>
                <w:rPr>
                  <w:rStyle w:val="Hyperlink"/>
                </w:rPr>
                <w:t xml:space="preserve">[50]</w:t>
              </w:r>
            </w:hyperlink>
          </w:p>
        </w:tc>
      </w:tr>
      <w:tr>
        <w:tc>
          <w:tcPr/>
          <w:p>
            <w:pPr>
              <w:pStyle w:val="Compact"/>
            </w:pPr>
            <w:r>
              <w:t xml:space="preserve">Severe hemodynamic impairment (even if “intermediate risk”)</w:t>
            </w:r>
          </w:p>
        </w:tc>
        <w:tc>
          <w:tcPr/>
          <w:p>
            <w:pPr>
              <w:pStyle w:val="Compact"/>
            </w:pPr>
            <w:r>
              <w:t xml:space="preserve">Consider initial parenteral prostacyclin strategy when RAP ≥20 and/or CI &lt;2.0 and/or SVI &lt;31 and/or PVR ≥12 WU</w:t>
            </w:r>
          </w:p>
        </w:tc>
        <w:tc>
          <w:tcPr/>
          <w:p>
            <w:pPr>
              <w:pStyle w:val="Compact"/>
            </w:pPr>
            <w:r>
              <w:t xml:space="preserve">“Override” logic: treat as high-intensity pathway</w:t>
            </w:r>
          </w:p>
        </w:tc>
        <w:tc>
          <w:tcPr/>
          <w:p>
            <w:pPr>
              <w:pStyle w:val="Compact"/>
            </w:pPr>
            <w:r>
              <w:t xml:space="preserve">ESC/ERS escalation discussion (registry-supported rationale)</w:t>
            </w:r>
            <w:r>
              <w:t xml:space="preserve"> </w:t>
            </w:r>
            <w:hyperlink r:id="rId21">
              <w:r>
                <w:rPr>
                  <w:rStyle w:val="Hyperlink"/>
                </w:rPr>
                <w:t xml:space="preserve">[50]</w:t>
              </w:r>
            </w:hyperlink>
          </w:p>
        </w:tc>
      </w:tr>
      <w:tr>
        <w:tc>
          <w:tcPr/>
          <w:p>
            <w:pPr>
              <w:pStyle w:val="Compact"/>
            </w:pPr>
            <w:r>
              <w:t xml:space="preserve">Cardiopulmonary comorbidities (PAH phenotype)</w:t>
            </w:r>
          </w:p>
        </w:tc>
        <w:tc>
          <w:tcPr/>
          <w:p>
            <w:pPr>
              <w:pStyle w:val="Compact"/>
            </w:pPr>
            <w:r>
              <w:t xml:space="preserve">Initial</w:t>
            </w:r>
            <w:r>
              <w:t xml:space="preserve"> </w:t>
            </w:r>
            <w:r>
              <w:rPr>
                <w:b/>
                <w:bCs/>
              </w:rPr>
              <w:t xml:space="preserve">monotherapy with PDE5i or ERA considered</w:t>
            </w:r>
            <w:r>
              <w:t xml:space="preserve"> </w:t>
            </w:r>
            <w:r>
              <w:t xml:space="preserve">(IIa C); if intermediate/high risk on monotherapy, additional PAH meds</w:t>
            </w:r>
            <w:r>
              <w:t xml:space="preserve"> </w:t>
            </w:r>
            <w:r>
              <w:rPr>
                <w:b/>
                <w:bCs/>
              </w:rPr>
              <w:t xml:space="preserve">may be considered</w:t>
            </w:r>
            <w:r>
              <w:t xml:space="preserve"> </w:t>
            </w:r>
            <w:r>
              <w:t xml:space="preserve">individually (IIb C)</w:t>
            </w:r>
          </w:p>
        </w:tc>
        <w:tc>
          <w:tcPr/>
          <w:p>
            <w:pPr>
              <w:pStyle w:val="Compact"/>
            </w:pPr>
            <w:r>
              <w:t xml:space="preserve">Branch to “cautious/individualized” pathway; higher adverse event/discontinuation risk</w:t>
            </w:r>
          </w:p>
        </w:tc>
        <w:tc>
          <w:tcPr/>
          <w:p>
            <w:pPr>
              <w:pStyle w:val="Compact"/>
            </w:pPr>
            <w:r>
              <w:t xml:space="preserve">ESC/ERS Recommendation Table 11</w:t>
            </w:r>
            <w:r>
              <w:t xml:space="preserve"> </w:t>
            </w:r>
            <w:hyperlink r:id="rId21">
              <w:r>
                <w:rPr>
                  <w:rStyle w:val="Hyperlink"/>
                </w:rPr>
                <w:t xml:space="preserve">[11]</w:t>
              </w:r>
            </w:hyperlink>
          </w:p>
        </w:tc>
      </w:tr>
      <w:tr>
        <w:tc>
          <w:tcPr/>
          <w:p>
            <w:pPr>
              <w:pStyle w:val="Compact"/>
            </w:pPr>
            <w:r>
              <w:t xml:space="preserve">REVEAL 2.0 risk thresholds</w:t>
            </w:r>
          </w:p>
        </w:tc>
        <w:tc>
          <w:tcPr/>
          <w:p>
            <w:pPr>
              <w:pStyle w:val="Compact"/>
            </w:pPr>
            <w:r>
              <w:t xml:space="preserve">Low:</w:t>
            </w:r>
            <w:r>
              <w:t xml:space="preserve"> </w:t>
            </w:r>
            <w:r>
              <w:rPr>
                <w:b/>
                <w:bCs/>
              </w:rPr>
              <w:t xml:space="preserve">≤6</w:t>
            </w:r>
            <w:r>
              <w:t xml:space="preserve">; intermediate:</w:t>
            </w:r>
            <w:r>
              <w:t xml:space="preserve"> </w:t>
            </w:r>
            <w:r>
              <w:rPr>
                <w:b/>
                <w:bCs/>
              </w:rPr>
              <w:t xml:space="preserve">7–8</w:t>
            </w:r>
            <w:r>
              <w:t xml:space="preserve">; high:</w:t>
            </w:r>
            <w:r>
              <w:t xml:space="preserve"> </w:t>
            </w:r>
            <w:r>
              <w:rPr>
                <w:b/>
                <w:bCs/>
              </w:rPr>
              <w:t xml:space="preserve">≥9</w:t>
            </w:r>
          </w:p>
        </w:tc>
        <w:tc>
          <w:tcPr/>
          <w:p>
            <w:pPr>
              <w:pStyle w:val="Compact"/>
            </w:pPr>
            <w:r>
              <w:t xml:space="preserve">Alternative/complement to ESC/ERS; useful for transplant triggers</w:t>
            </w:r>
          </w:p>
        </w:tc>
        <w:tc>
          <w:tcPr/>
          <w:p>
            <w:pPr>
              <w:pStyle w:val="Compact"/>
            </w:pPr>
            <w:r>
              <w:t xml:space="preserve">REVEAL-derived thresholds as used in contemporary analyses</w:t>
            </w:r>
            <w:r>
              <w:t xml:space="preserve"> </w:t>
            </w:r>
            <w:hyperlink r:id="rId32">
              <w:r>
                <w:rPr>
                  <w:rStyle w:val="Hyperlink"/>
                </w:rPr>
                <w:t xml:space="preserve">[51]</w:t>
              </w:r>
            </w:hyperlink>
          </w:p>
        </w:tc>
      </w:tr>
      <w:tr>
        <w:tc>
          <w:tcPr/>
          <w:p>
            <w:pPr>
              <w:pStyle w:val="Compact"/>
            </w:pPr>
            <w:r>
              <w:t xml:space="preserve">COMPERA 2.0 concept</w:t>
            </w:r>
          </w:p>
        </w:tc>
        <w:tc>
          <w:tcPr/>
          <w:p>
            <w:pPr>
              <w:pStyle w:val="Compact"/>
            </w:pPr>
            <w:r>
              <w:t xml:space="preserve">4-strata model provides improved sensitivity to change vs 3-strata intermediate “compression”</w:t>
            </w:r>
          </w:p>
        </w:tc>
        <w:tc>
          <w:tcPr/>
          <w:p>
            <w:pPr>
              <w:pStyle w:val="Compact"/>
            </w:pPr>
            <w:r>
              <w:t xml:space="preserve">Supports using 4 strata at follow-up to guide escalation</w:t>
            </w:r>
          </w:p>
        </w:tc>
        <w:tc>
          <w:tcPr/>
          <w:p>
            <w:pPr>
              <w:pStyle w:val="Compact"/>
            </w:pPr>
            <w:r>
              <w:t xml:space="preserve">COMPERA 2.0 validation study and ESC/ERS rationale</w:t>
            </w:r>
            <w:r>
              <w:t xml:space="preserve"> </w:t>
            </w:r>
            <w:hyperlink r:id="rId33">
              <w:r>
                <w:rPr>
                  <w:rStyle w:val="Hyperlink"/>
                </w:rPr>
                <w:t xml:space="preserve">[52]</w:t>
              </w:r>
            </w:hyperlink>
          </w:p>
        </w:tc>
      </w:tr>
      <w:tr>
        <w:tc>
          <w:tcPr/>
          <w:p>
            <w:pPr>
              <w:pStyle w:val="Compact"/>
            </w:pPr>
            <w:r>
              <w:t xml:space="preserve">Pregnancy (PAH)</w:t>
            </w:r>
          </w:p>
        </w:tc>
        <w:tc>
          <w:tcPr/>
          <w:p>
            <w:pPr>
              <w:pStyle w:val="Compact"/>
            </w:pPr>
            <w:r>
              <w:t xml:space="preserve">Avoid pregnancy; counsel at diagnosis; manage pregnancy/termination in experienced PH center; avoid teratogenic agents (notably ERAs and riociguat)</w:t>
            </w:r>
          </w:p>
        </w:tc>
        <w:tc>
          <w:tcPr/>
          <w:p>
            <w:pPr>
              <w:pStyle w:val="Compact"/>
            </w:pPr>
            <w:r>
              <w:t xml:space="preserve">“Safety override” branch for medication selection and referral</w:t>
            </w:r>
          </w:p>
        </w:tc>
        <w:tc>
          <w:tcPr/>
          <w:p>
            <w:pPr>
              <w:pStyle w:val="Compact"/>
            </w:pPr>
            <w:r>
              <w:t xml:space="preserve">ESC/ERS Recommendation Table 6 and pregnancy section</w:t>
            </w:r>
            <w:r>
              <w:t xml:space="preserve"> </w:t>
            </w:r>
            <w:hyperlink r:id="rId21">
              <w:r>
                <w:rPr>
                  <w:rStyle w:val="Hyperlink"/>
                </w:rPr>
                <w:t xml:space="preserve">[53]</w:t>
              </w:r>
            </w:hyperlink>
          </w:p>
        </w:tc>
      </w:tr>
      <w:tr>
        <w:tc>
          <w:tcPr/>
          <w:p>
            <w:pPr>
              <w:pStyle w:val="Compact"/>
            </w:pPr>
            <w:r>
              <w:t xml:space="preserve">Drug-/toxin-associated PAH</w:t>
            </w:r>
          </w:p>
        </w:tc>
        <w:tc>
          <w:tcPr/>
          <w:p>
            <w:pPr>
              <w:pStyle w:val="Compact"/>
            </w:pPr>
            <w:r>
              <w:t xml:space="preserve">Discontinue causative agent ASAP;</w:t>
            </w:r>
            <w:r>
              <w:t xml:space="preserve"> </w:t>
            </w:r>
            <w:r>
              <w:rPr>
                <w:b/>
                <w:bCs/>
              </w:rPr>
              <w:t xml:space="preserve">immediate PAH therapy</w:t>
            </w:r>
            <w:r>
              <w:t xml:space="preserve"> </w:t>
            </w:r>
            <w:r>
              <w:t xml:space="preserve">if intermediate/high risk; if low risk after stopping agent, re-evaluate at</w:t>
            </w:r>
            <w:r>
              <w:t xml:space="preserve"> </w:t>
            </w:r>
            <w:r>
              <w:rPr>
                <w:b/>
                <w:bCs/>
              </w:rPr>
              <w:t xml:space="preserve">3–4 months</w:t>
            </w:r>
            <w:r>
              <w:t xml:space="preserve">, treat if hemodynamics not normalized</w:t>
            </w:r>
          </w:p>
        </w:tc>
        <w:tc>
          <w:tcPr/>
          <w:p>
            <w:pPr>
              <w:pStyle w:val="Compact"/>
            </w:pPr>
            <w:r>
              <w:t xml:space="preserve">Time-based reassessment threshold for drug-induced cases</w:t>
            </w:r>
          </w:p>
        </w:tc>
        <w:tc>
          <w:tcPr/>
          <w:p>
            <w:pPr>
              <w:pStyle w:val="Compact"/>
            </w:pPr>
            <w:r>
              <w:t xml:space="preserve">ESC/ERS Recommendation Table 14</w:t>
            </w:r>
            <w:r>
              <w:t xml:space="preserve"> </w:t>
            </w:r>
            <w:hyperlink r:id="rId21">
              <w:r>
                <w:rPr>
                  <w:rStyle w:val="Hyperlink"/>
                </w:rPr>
                <w:t xml:space="preserve">[54]</w:t>
              </w:r>
            </w:hyperlink>
          </w:p>
        </w:tc>
      </w:tr>
      <w:tr>
        <w:tc>
          <w:tcPr/>
          <w:p>
            <w:pPr>
              <w:pStyle w:val="Compact"/>
            </w:pPr>
            <w:r>
              <w:t xml:space="preserve">Group 2 PH (LHD)</w:t>
            </w:r>
          </w:p>
        </w:tc>
        <w:tc>
          <w:tcPr/>
          <w:p>
            <w:pPr>
              <w:pStyle w:val="Compact"/>
            </w:pPr>
            <w:r>
              <w:t xml:space="preserve">Optimize LHD first; refer to PH center if severe pre-capillary component/RV dysfunction;</w:t>
            </w:r>
            <w:r>
              <w:t xml:space="preserve"> </w:t>
            </w:r>
            <w:r>
              <w:rPr>
                <w:b/>
                <w:bCs/>
              </w:rPr>
              <w:t xml:space="preserve">PAH drugs not recommended</w:t>
            </w:r>
            <w:r>
              <w:t xml:space="preserve"> </w:t>
            </w:r>
            <w:r>
              <w:t xml:space="preserve">in PH-LHD (III A)</w:t>
            </w:r>
          </w:p>
        </w:tc>
        <w:tc>
          <w:tcPr/>
          <w:p>
            <w:pPr>
              <w:pStyle w:val="Compact"/>
            </w:pPr>
            <w:r>
              <w:t xml:space="preserve">“Do not treat with PAH drugs” guardrail</w:t>
            </w:r>
          </w:p>
        </w:tc>
        <w:tc>
          <w:tcPr/>
          <w:p>
            <w:pPr>
              <w:pStyle w:val="Compact"/>
            </w:pPr>
            <w:r>
              <w:t xml:space="preserve">ESC/ERS LHD recommendations</w:t>
            </w:r>
            <w:r>
              <w:t xml:space="preserve"> </w:t>
            </w:r>
            <w:hyperlink r:id="rId21">
              <w:r>
                <w:rPr>
                  <w:rStyle w:val="Hyperlink"/>
                </w:rPr>
                <w:t xml:space="preserve">[55]</w:t>
              </w:r>
            </w:hyperlink>
          </w:p>
        </w:tc>
      </w:tr>
      <w:tr>
        <w:tc>
          <w:tcPr/>
          <w:p>
            <w:pPr>
              <w:pStyle w:val="Compact"/>
            </w:pPr>
            <w:r>
              <w:t xml:space="preserve">Group 3 PH (lung disease/hypoxia)</w:t>
            </w:r>
          </w:p>
        </w:tc>
        <w:tc>
          <w:tcPr/>
          <w:p>
            <w:pPr>
              <w:pStyle w:val="Compact"/>
            </w:pPr>
            <w:r>
              <w:t xml:space="preserve">Use echo + ABG/PFT/DLCO/CT integration; in suspected severe PH or uncertainty, refer to PH center;</w:t>
            </w:r>
            <w:r>
              <w:t xml:space="preserve"> </w:t>
            </w:r>
            <w:r>
              <w:rPr>
                <w:b/>
                <w:bCs/>
              </w:rPr>
              <w:t xml:space="preserve">inhaled treprostinil may be considered</w:t>
            </w:r>
            <w:r>
              <w:t xml:space="preserve"> </w:t>
            </w:r>
            <w:r>
              <w:t xml:space="preserve">in ILD-PH (IIb B); PAH meds not recommended in non-severe PH; PDE5i may be considered only in severe ILD-PH (IIb C)</w:t>
            </w:r>
          </w:p>
        </w:tc>
        <w:tc>
          <w:tcPr/>
          <w:p>
            <w:pPr>
              <w:pStyle w:val="Compact"/>
            </w:pPr>
            <w:r>
              <w:t xml:space="preserve">“Limited targeted therapy” pathway; referral and transplant evaluation emphasized</w:t>
            </w:r>
          </w:p>
        </w:tc>
        <w:tc>
          <w:tcPr/>
          <w:p>
            <w:pPr>
              <w:pStyle w:val="Compact"/>
            </w:pPr>
            <w:r>
              <w:t xml:space="preserve">ESC/ERS Recommendation Table 23 and rationale</w:t>
            </w:r>
            <w:r>
              <w:t xml:space="preserve"> </w:t>
            </w:r>
            <w:hyperlink r:id="rId21">
              <w:r>
                <w:rPr>
                  <w:rStyle w:val="Hyperlink"/>
                </w:rPr>
                <w:t xml:space="preserve">[56]</w:t>
              </w:r>
            </w:hyperlink>
          </w:p>
        </w:tc>
      </w:tr>
      <w:tr>
        <w:tc>
          <w:tcPr/>
          <w:p>
            <w:pPr>
              <w:pStyle w:val="Compact"/>
            </w:pPr>
            <w:r>
              <w:t xml:space="preserve">CTEPH diagnostics</w:t>
            </w:r>
          </w:p>
        </w:tc>
        <w:tc>
          <w:tcPr/>
          <w:p>
            <w:pPr>
              <w:pStyle w:val="Compact"/>
            </w:pPr>
            <w:r>
              <w:t xml:space="preserve">V/Q scan (or equivalent perfusion imaging) for mismatched defects + echo probability + referral to CTEPH/PH center; confirm with imaging + RHC</w:t>
            </w:r>
          </w:p>
        </w:tc>
        <w:tc>
          <w:tcPr/>
          <w:p>
            <w:pPr>
              <w:pStyle w:val="Compact"/>
            </w:pPr>
            <w:r>
              <w:t xml:space="preserve">Hard gate for CTEPH treatment pathway</w:t>
            </w:r>
          </w:p>
        </w:tc>
        <w:tc>
          <w:tcPr/>
          <w:p>
            <w:pPr>
              <w:pStyle w:val="Compact"/>
            </w:pPr>
            <w:r>
              <w:t xml:space="preserve">ESC/ERS Figure 13</w:t>
            </w:r>
            <w:r>
              <w:t xml:space="preserve"> </w:t>
            </w:r>
            <w:hyperlink r:id="rId21">
              <w:r>
                <w:rPr>
                  <w:rStyle w:val="Hyperlink"/>
                </w:rPr>
                <w:t xml:space="preserve">[57]</w:t>
              </w:r>
            </w:hyperlink>
          </w:p>
        </w:tc>
      </w:tr>
      <w:tr>
        <w:tc>
          <w:tcPr/>
          <w:p>
            <w:pPr>
              <w:pStyle w:val="Compact"/>
            </w:pPr>
            <w:r>
              <w:t xml:space="preserve">CTEPH therapy</w:t>
            </w:r>
          </w:p>
        </w:tc>
        <w:tc>
          <w:tcPr/>
          <w:p>
            <w:pPr>
              <w:pStyle w:val="Compact"/>
            </w:pPr>
            <w:r>
              <w:t xml:space="preserve">Lifelong therapeutic anticoag; all cases reviewed by CTEPH team; PEA preferred when operable; BPA for inoperable or residual PH; riociguat for symptomatic inoperable/persistent/recurrent PH after PEA</w:t>
            </w:r>
          </w:p>
        </w:tc>
        <w:tc>
          <w:tcPr/>
          <w:p>
            <w:pPr>
              <w:pStyle w:val="Compact"/>
            </w:pPr>
            <w:r>
              <w:t xml:space="preserve">“Interventional-first” approach with clear escalation</w:t>
            </w:r>
          </w:p>
        </w:tc>
        <w:tc>
          <w:tcPr/>
          <w:p>
            <w:pPr>
              <w:pStyle w:val="Compact"/>
            </w:pPr>
            <w:r>
              <w:t xml:space="preserve">ESC/ERS Recommendation Table 24 (Classes I–IIb with levels B/C)</w:t>
            </w:r>
            <w:r>
              <w:t xml:space="preserve"> </w:t>
            </w:r>
            <w:hyperlink r:id="rId21">
              <w:r>
                <w:rPr>
                  <w:rStyle w:val="Hyperlink"/>
                </w:rPr>
                <w:t xml:space="preserve">[58]</w:t>
              </w:r>
            </w:hyperlink>
          </w:p>
        </w:tc>
      </w:tr>
      <w:tr>
        <w:tc>
          <w:tcPr/>
          <w:p>
            <w:pPr>
              <w:pStyle w:val="Compact"/>
            </w:pPr>
            <w:r>
              <w:t xml:space="preserve">Lung transplant pathway</w:t>
            </w:r>
          </w:p>
        </w:tc>
        <w:tc>
          <w:tcPr/>
          <w:p>
            <w:pPr>
              <w:pStyle w:val="Compact"/>
            </w:pPr>
            <w:r>
              <w:t xml:space="preserve">Refer for evaluation when inadequate response to oral combination therapy: intermediate-high/high risk or</w:t>
            </w:r>
            <w:r>
              <w:t xml:space="preserve"> </w:t>
            </w:r>
            <w:r>
              <w:rPr>
                <w:b/>
                <w:bCs/>
              </w:rPr>
              <w:t xml:space="preserve">REVEAL &gt;7</w:t>
            </w:r>
            <w:r>
              <w:t xml:space="preserve">; list if high risk or</w:t>
            </w:r>
            <w:r>
              <w:t xml:space="preserve"> </w:t>
            </w:r>
            <w:r>
              <w:rPr>
                <w:b/>
                <w:bCs/>
              </w:rPr>
              <w:t xml:space="preserve">REVEAL ≥10</w:t>
            </w:r>
            <w:r>
              <w:t xml:space="preserve"> </w:t>
            </w:r>
            <w:r>
              <w:t xml:space="preserve">despite optimized therapy including IV/SC prostacyclin</w:t>
            </w:r>
          </w:p>
        </w:tc>
        <w:tc>
          <w:tcPr/>
          <w:p>
            <w:pPr>
              <w:pStyle w:val="Compact"/>
            </w:pPr>
            <w:r>
              <w:t xml:space="preserve">Explicit thresholds for transplant referral/listing in PAH</w:t>
            </w:r>
          </w:p>
        </w:tc>
        <w:tc>
          <w:tcPr/>
          <w:p>
            <w:pPr>
              <w:pStyle w:val="Compact"/>
            </w:pPr>
            <w:r>
              <w:t xml:space="preserve">ESC/ERS Recommendation Table 13</w:t>
            </w:r>
            <w:r>
              <w:t xml:space="preserve"> </w:t>
            </w:r>
            <w:hyperlink r:id="rId21">
              <w:r>
                <w:rPr>
                  <w:rStyle w:val="Hyperlink"/>
                </w:rPr>
                <w:t xml:space="preserve">[12]</w:t>
              </w:r>
            </w:hyperlink>
          </w:p>
        </w:tc>
      </w:tr>
    </w:tbl>
    <w:bookmarkEnd w:id="34"/>
    <w:bookmarkEnd w:id="35"/>
    <w:bookmarkEnd w:id="36"/>
    <w:bookmarkStart w:id="40" w:name="proposed-stepwise-algorithm"/>
    <w:p>
      <w:pPr>
        <w:pStyle w:val="Heading2"/>
      </w:pPr>
      <w:r>
        <w:t xml:space="preserve">Proposed Stepwise Algorithm</w:t>
      </w:r>
    </w:p>
    <w:bookmarkStart w:id="37" w:name="high-level-logic"/>
    <w:p>
      <w:pPr>
        <w:pStyle w:val="Heading3"/>
      </w:pPr>
      <w:r>
        <w:t xml:space="preserve">High-level logic</w:t>
      </w:r>
    </w:p>
    <w:p>
      <w:pPr>
        <w:pStyle w:val="FirstParagraph"/>
      </w:pPr>
      <w:r>
        <w:t xml:space="preserve">A rigorous clinical decision algorithm for adult PH should implement five layers of logic:</w:t>
      </w:r>
    </w:p>
    <w:p>
      <w:pPr>
        <w:pStyle w:val="BodyText"/>
      </w:pPr>
      <w:r>
        <w:rPr>
          <w:b/>
          <w:bCs/>
        </w:rPr>
        <w:t xml:space="preserve">Layer One: Confirm PH and define hemodynamic phenotype (RHC gate).</w:t>
      </w:r>
      <w:r>
        <w:br/>
      </w:r>
      <w:r>
        <w:t xml:space="preserve">Classify PH using mPAP/PAWP/PVR definitions, including distinguishing pre-capillary from post-capillary and combined phenotypes.</w:t>
      </w:r>
      <w:r>
        <w:t xml:space="preserve"> </w:t>
      </w:r>
      <w:hyperlink r:id="rId21">
        <w:r>
          <w:rPr>
            <w:rStyle w:val="Hyperlink"/>
          </w:rPr>
          <w:t xml:space="preserve">[59]</w:t>
        </w:r>
      </w:hyperlink>
    </w:p>
    <w:p>
      <w:pPr>
        <w:pStyle w:val="BodyText"/>
      </w:pPr>
      <w:r>
        <w:rPr>
          <w:b/>
          <w:bCs/>
        </w:rPr>
        <w:t xml:space="preserve">Layer Two: Assign WHO group with “therapy-eligibility guardrails.”</w:t>
      </w:r>
      <w:r>
        <w:br/>
      </w:r>
      <w:r>
        <w:t xml:space="preserve">Route patients to:</w:t>
      </w:r>
      <w:r>
        <w:br/>
      </w:r>
      <w:r>
        <w:t xml:space="preserve">-</w:t>
      </w:r>
      <w:r>
        <w:t xml:space="preserve"> </w:t>
      </w:r>
      <w:r>
        <w:rPr>
          <w:b/>
          <w:bCs/>
        </w:rPr>
        <w:t xml:space="preserve">PAH pathway</w:t>
      </w:r>
      <w:r>
        <w:t xml:space="preserve"> </w:t>
      </w:r>
      <w:r>
        <w:t xml:space="preserve">(targeted therapy + risk-based escalation).</w:t>
      </w:r>
      <w:r>
        <w:t xml:space="preserve"> </w:t>
      </w:r>
      <w:hyperlink r:id="rId21">
        <w:r>
          <w:rPr>
            <w:rStyle w:val="Hyperlink"/>
          </w:rPr>
          <w:t xml:space="preserve">[60]</w:t>
        </w:r>
      </w:hyperlink>
      <w:r>
        <w:br/>
      </w:r>
      <w:r>
        <w:t xml:space="preserve">-</w:t>
      </w:r>
      <w:r>
        <w:t xml:space="preserve"> </w:t>
      </w:r>
      <w:r>
        <w:rPr>
          <w:b/>
          <w:bCs/>
        </w:rPr>
        <w:t xml:space="preserve">CTEPH pathway</w:t>
      </w:r>
      <w:r>
        <w:t xml:space="preserve"> </w:t>
      </w:r>
      <w:r>
        <w:t xml:space="preserve">(CTEPH team assessment, PEA/BPA/riociguat, lifelong anticoagulation).</w:t>
      </w:r>
      <w:r>
        <w:t xml:space="preserve"> </w:t>
      </w:r>
      <w:hyperlink r:id="rId21">
        <w:r>
          <w:rPr>
            <w:rStyle w:val="Hyperlink"/>
          </w:rPr>
          <w:t xml:space="preserve">[61]</w:t>
        </w:r>
      </w:hyperlink>
      <w:r>
        <w:br/>
      </w:r>
      <w:r>
        <w:t xml:space="preserve">-</w:t>
      </w:r>
      <w:r>
        <w:t xml:space="preserve"> </w:t>
      </w:r>
      <w:r>
        <w:rPr>
          <w:b/>
          <w:bCs/>
        </w:rPr>
        <w:t xml:space="preserve">LHD pathway</w:t>
      </w:r>
      <w:r>
        <w:t xml:space="preserve"> </w:t>
      </w:r>
      <w:r>
        <w:t xml:space="preserve">(optimize HF/valvular disease and avoid PAH drugs).</w:t>
      </w:r>
      <w:r>
        <w:t xml:space="preserve"> </w:t>
      </w:r>
      <w:hyperlink r:id="rId21">
        <w:r>
          <w:rPr>
            <w:rStyle w:val="Hyperlink"/>
          </w:rPr>
          <w:t xml:space="preserve">[4]</w:t>
        </w:r>
      </w:hyperlink>
      <w:r>
        <w:br/>
      </w:r>
      <w:r>
        <w:t xml:space="preserve">-</w:t>
      </w:r>
      <w:r>
        <w:t xml:space="preserve"> </w:t>
      </w:r>
      <w:r>
        <w:rPr>
          <w:b/>
          <w:bCs/>
        </w:rPr>
        <w:t xml:space="preserve">Lung disease pathway</w:t>
      </w:r>
      <w:r>
        <w:t xml:space="preserve"> </w:t>
      </w:r>
      <w:r>
        <w:t xml:space="preserve">(optimize lung disease; consider inhaled treprostinil in ILD-PH; transplant referral when appropriate).</w:t>
      </w:r>
      <w:r>
        <w:t xml:space="preserve"> </w:t>
      </w:r>
      <w:hyperlink r:id="rId21">
        <w:r>
          <w:rPr>
            <w:rStyle w:val="Hyperlink"/>
          </w:rPr>
          <w:t xml:space="preserve">[56]</w:t>
        </w:r>
      </w:hyperlink>
      <w:r>
        <w:br/>
      </w:r>
      <w:r>
        <w:t xml:space="preserve">-</w:t>
      </w:r>
      <w:r>
        <w:t xml:space="preserve"> </w:t>
      </w:r>
      <w:r>
        <w:rPr>
          <w:b/>
          <w:bCs/>
        </w:rPr>
        <w:t xml:space="preserve">Group 5 pathway</w:t>
      </w:r>
      <w:r>
        <w:t xml:space="preserve"> </w:t>
      </w:r>
      <w:r>
        <w:t xml:space="preserve">(treat underlying disease; specialist referral for individualized decisions).</w:t>
      </w:r>
      <w:r>
        <w:t xml:space="preserve"> </w:t>
      </w:r>
      <w:hyperlink r:id="rId21">
        <w:r>
          <w:rPr>
            <w:rStyle w:val="Hyperlink"/>
          </w:rPr>
          <w:t xml:space="preserve">[5]</w:t>
        </w:r>
      </w:hyperlink>
    </w:p>
    <w:p>
      <w:pPr>
        <w:pStyle w:val="BodyText"/>
      </w:pPr>
      <w:r>
        <w:rPr>
          <w:b/>
          <w:bCs/>
        </w:rPr>
        <w:t xml:space="preserve">Layer Three: For PAH, branch on vasoreactivity and comorbid phenotype.</w:t>
      </w:r>
      <w:r>
        <w:br/>
      </w:r>
      <w:r>
        <w:t xml:space="preserve">A vasoreactivity-positive subgroup can receive CCB therapy with strict continuation thresholds; older patients with cardiopulmonary comorbidities should start more cautiously, typically monotherapy.</w:t>
      </w:r>
      <w:r>
        <w:t xml:space="preserve"> </w:t>
      </w:r>
      <w:hyperlink r:id="rId21">
        <w:r>
          <w:rPr>
            <w:rStyle w:val="Hyperlink"/>
          </w:rPr>
          <w:t xml:space="preserve">[62]</w:t>
        </w:r>
      </w:hyperlink>
    </w:p>
    <w:p>
      <w:pPr>
        <w:pStyle w:val="BodyText"/>
      </w:pPr>
      <w:r>
        <w:rPr>
          <w:b/>
          <w:bCs/>
        </w:rPr>
        <w:t xml:space="preserve">Layer Four: Intensify therapy using risk-stratified triggers and a fixed reassessment cadence.</w:t>
      </w:r>
      <w:r>
        <w:br/>
      </w:r>
      <w:r>
        <w:t xml:space="preserve">Implement follow-up every 3–6 months (and after therapy changes) to update risk and trigger escalation.</w:t>
      </w:r>
      <w:r>
        <w:t xml:space="preserve"> </w:t>
      </w:r>
      <w:hyperlink r:id="rId21">
        <w:r>
          <w:rPr>
            <w:rStyle w:val="Hyperlink"/>
          </w:rPr>
          <w:t xml:space="preserve">[63]</w:t>
        </w:r>
      </w:hyperlink>
    </w:p>
    <w:p>
      <w:pPr>
        <w:pStyle w:val="BodyText"/>
      </w:pPr>
      <w:r>
        <w:rPr>
          <w:b/>
          <w:bCs/>
        </w:rPr>
        <w:t xml:space="preserve">Layer Five: Embed referral/advanced therapy triggers early (PH center, parenteral prostacyclin, transplant).</w:t>
      </w:r>
      <w:r>
        <w:br/>
      </w:r>
      <w:r>
        <w:t xml:space="preserve">PH centers should have defined capabilities and referral patterns, and the algorithm should automatically escalate to advanced therapy pathways when intermediate-high/high risk persists despite appropriate therapy.</w:t>
      </w:r>
      <w:r>
        <w:t xml:space="preserve"> </w:t>
      </w:r>
      <w:hyperlink r:id="rId21">
        <w:r>
          <w:rPr>
            <w:rStyle w:val="Hyperlink"/>
          </w:rPr>
          <w:t xml:space="preserve">[64]</w:t>
        </w:r>
      </w:hyperlink>
    </w:p>
    <w:bookmarkEnd w:id="37"/>
    <w:bookmarkStart w:id="38" w:name="X0ee74804ce1d274c270ee6f9778627be26959e5"/>
    <w:p>
      <w:pPr>
        <w:pStyle w:val="Heading3"/>
      </w:pPr>
      <w:r>
        <w:t xml:space="preserve">Mermaid flowchart of the proposed algorithm</w:t>
      </w:r>
    </w:p>
    <w:p>
      <w:pPr>
        <w:pStyle w:val="SourceCode"/>
      </w:pPr>
      <w:r>
        <w:rPr>
          <w:rStyle w:val="VerbatimChar"/>
        </w:rPr>
        <w:t xml:space="preserve">flowchart TD</w:t>
      </w:r>
      <w:r>
        <w:br/>
      </w:r>
      <w:r>
        <w:rPr>
          <w:rStyle w:val="VerbatimChar"/>
        </w:rPr>
        <w:t xml:space="preserve">  A[Adult with suspected/confirmed PH] --&gt; B[Confirm hemodynamics by RHC]</w:t>
      </w:r>
      <w:r>
        <w:br/>
      </w:r>
      <w:r>
        <w:rPr>
          <w:rStyle w:val="VerbatimChar"/>
        </w:rPr>
        <w:t xml:space="preserve">  B --&gt; C{mPAP &gt; 20 mmHg?}</w:t>
      </w:r>
      <w:r>
        <w:br/>
      </w:r>
      <w:r>
        <w:rPr>
          <w:rStyle w:val="VerbatimChar"/>
        </w:rPr>
        <w:t xml:space="preserve">  C --&gt;|No| C0[No PH by hemodynamic definition\nReassess if high suspicion]</w:t>
      </w:r>
      <w:r>
        <w:br/>
      </w:r>
      <w:r>
        <w:rPr>
          <w:rStyle w:val="VerbatimChar"/>
        </w:rPr>
        <w:t xml:space="preserve">  C --&gt;|Yes| D[Classify hemodynamics:\nPAWP, PVR]</w:t>
      </w:r>
      <w:r>
        <w:br/>
      </w:r>
      <w:r>
        <w:rPr>
          <w:rStyle w:val="VerbatimChar"/>
        </w:rPr>
        <w:t xml:space="preserve">  D --&gt; E{Pre-capillary?\nPAWP ≤15 &amp; PVR &gt;2}</w:t>
      </w:r>
      <w:r>
        <w:br/>
      </w:r>
      <w:r>
        <w:rPr>
          <w:rStyle w:val="VerbatimChar"/>
        </w:rPr>
        <w:t xml:space="preserve">  D --&gt; F{Post-capillary?\nPAWP &gt;15}</w:t>
      </w:r>
      <w:r>
        <w:br/>
      </w:r>
      <w:r>
        <w:br/>
      </w:r>
      <w:r>
        <w:rPr>
          <w:rStyle w:val="VerbatimChar"/>
        </w:rPr>
        <w:t xml:space="preserve">  %% Pre-capillary branch</w:t>
      </w:r>
      <w:r>
        <w:br/>
      </w:r>
      <w:r>
        <w:rPr>
          <w:rStyle w:val="VerbatimChar"/>
        </w:rPr>
        <w:t xml:space="preserve">  E --&gt;|Yes| G[WHO group workup:\nPAH vs lung disease vs CTEPH vs other]</w:t>
      </w:r>
      <w:r>
        <w:br/>
      </w:r>
      <w:r>
        <w:rPr>
          <w:rStyle w:val="VerbatimChar"/>
        </w:rPr>
        <w:t xml:space="preserve">  G --&gt; H{CTEPH suspected/possible?}</w:t>
      </w:r>
      <w:r>
        <w:br/>
      </w:r>
      <w:r>
        <w:rPr>
          <w:rStyle w:val="VerbatimChar"/>
        </w:rPr>
        <w:t xml:space="preserve">  H --&gt;|Yes| I[Perfusion imaging (V/Q)\n+ echo probability]</w:t>
      </w:r>
      <w:r>
        <w:br/>
      </w:r>
      <w:r>
        <w:rPr>
          <w:rStyle w:val="VerbatimChar"/>
        </w:rPr>
        <w:t xml:space="preserve">  I --&gt; J{Mismatched defects OR high suspicion?}</w:t>
      </w:r>
      <w:r>
        <w:br/>
      </w:r>
      <w:r>
        <w:rPr>
          <w:rStyle w:val="VerbatimChar"/>
        </w:rPr>
        <w:t xml:space="preserve">  J --&gt;|Yes| K[Refer to CTEPH/PH center\nCTPA/angiography + RHC confirmation]</w:t>
      </w:r>
      <w:r>
        <w:br/>
      </w:r>
      <w:r>
        <w:rPr>
          <w:rStyle w:val="VerbatimChar"/>
        </w:rPr>
        <w:t xml:space="preserve">  K --&gt; L[CTEPH confirmed]</w:t>
      </w:r>
      <w:r>
        <w:br/>
      </w:r>
      <w:r>
        <w:rPr>
          <w:rStyle w:val="VerbatimChar"/>
        </w:rPr>
        <w:t xml:space="preserve">  L --&gt; L1[Lifelong anticoagulation]</w:t>
      </w:r>
      <w:r>
        <w:br/>
      </w:r>
      <w:r>
        <w:rPr>
          <w:rStyle w:val="VerbatimChar"/>
        </w:rPr>
        <w:t xml:space="preserve">  L --&gt; L2[CTEPH MDT operability assessment]</w:t>
      </w:r>
      <w:r>
        <w:br/>
      </w:r>
      <w:r>
        <w:rPr>
          <w:rStyle w:val="VerbatimChar"/>
        </w:rPr>
        <w:t xml:space="preserve">  L2 --&gt; M{Operable PEA?}</w:t>
      </w:r>
      <w:r>
        <w:br/>
      </w:r>
      <w:r>
        <w:rPr>
          <w:rStyle w:val="VerbatimChar"/>
        </w:rPr>
        <w:t xml:space="preserve">  M --&gt;|Yes| N[PEA + structured follow-up]</w:t>
      </w:r>
      <w:r>
        <w:br/>
      </w:r>
      <w:r>
        <w:rPr>
          <w:rStyle w:val="VerbatimChar"/>
        </w:rPr>
        <w:t xml:space="preserve">  M --&gt;|No| O[BPA and/or medical therapy]</w:t>
      </w:r>
      <w:r>
        <w:br/>
      </w:r>
      <w:r>
        <w:rPr>
          <w:rStyle w:val="VerbatimChar"/>
        </w:rPr>
        <w:t xml:space="preserve">  O --&gt; O1[Riociguat for symptomatic inoperable\nor persistent/recurrent PH after PEA]</w:t>
      </w:r>
      <w:r>
        <w:br/>
      </w:r>
      <w:r>
        <w:rPr>
          <w:rStyle w:val="VerbatimChar"/>
        </w:rPr>
        <w:t xml:space="preserve">  O --&gt; O2[Consider multimodality approach\nand specialist follow-up]</w:t>
      </w:r>
      <w:r>
        <w:br/>
      </w:r>
      <w:r>
        <w:br/>
      </w:r>
      <w:r>
        <w:rPr>
          <w:rStyle w:val="VerbatimChar"/>
        </w:rPr>
        <w:t xml:space="preserve">  H --&gt;|No| P{PAH (Group 1) likely?}</w:t>
      </w:r>
      <w:r>
        <w:br/>
      </w:r>
      <w:r>
        <w:rPr>
          <w:rStyle w:val="VerbatimChar"/>
        </w:rPr>
        <w:t xml:space="preserve">  P --&gt;|No| Q[Group 3/5 pre-capillary PH pathway]</w:t>
      </w:r>
      <w:r>
        <w:br/>
      </w:r>
      <w:r>
        <w:rPr>
          <w:rStyle w:val="VerbatimChar"/>
        </w:rPr>
        <w:t xml:space="preserve">  Q --&gt; Q1[Optimize underlying lung/systemic disease]</w:t>
      </w:r>
      <w:r>
        <w:br/>
      </w:r>
      <w:r>
        <w:rPr>
          <w:rStyle w:val="VerbatimChar"/>
        </w:rPr>
        <w:t xml:space="preserve">  Q --&gt; Q2{ILD-PH?}</w:t>
      </w:r>
      <w:r>
        <w:br/>
      </w:r>
      <w:r>
        <w:rPr>
          <w:rStyle w:val="VerbatimChar"/>
        </w:rPr>
        <w:t xml:space="preserve">  Q2 --&gt;|Yes| Q3[Consider inhaled treprostinil;\nconsider PDE5i only if severe ILD-PH\nin PH center]</w:t>
      </w:r>
      <w:r>
        <w:br/>
      </w:r>
      <w:r>
        <w:rPr>
          <w:rStyle w:val="VerbatimChar"/>
        </w:rPr>
        <w:t xml:space="preserve">  Q2 --&gt;|No| Q4[Generally avoid PAH drugs;\nPH-center individualized decisions if severe]</w:t>
      </w:r>
      <w:r>
        <w:br/>
      </w:r>
      <w:r>
        <w:rPr>
          <w:rStyle w:val="VerbatimChar"/>
        </w:rPr>
        <w:t xml:space="preserve">  Q --&gt; Q5[Refer eligible patients for lung transplant eval]</w:t>
      </w:r>
      <w:r>
        <w:br/>
      </w:r>
      <w:r>
        <w:br/>
      </w:r>
      <w:r>
        <w:rPr>
          <w:rStyle w:val="VerbatimChar"/>
        </w:rPr>
        <w:t xml:space="preserve">  %% PAH pathway</w:t>
      </w:r>
      <w:r>
        <w:br/>
      </w:r>
      <w:r>
        <w:rPr>
          <w:rStyle w:val="VerbatimChar"/>
        </w:rPr>
        <w:t xml:space="preserve">  P --&gt;|Yes| R[Refer/Co-manage at PH center;\nbaseline risk assessment]</w:t>
      </w:r>
      <w:r>
        <w:br/>
      </w:r>
      <w:r>
        <w:rPr>
          <w:rStyle w:val="VerbatimChar"/>
        </w:rPr>
        <w:t xml:space="preserve">  R --&gt; S{Vasoreactivity testing indicated\n(IPAH/HPAH/drug-induced)?}</w:t>
      </w:r>
      <w:r>
        <w:br/>
      </w:r>
      <w:r>
        <w:rPr>
          <w:rStyle w:val="VerbatimChar"/>
        </w:rPr>
        <w:t xml:space="preserve">  S --&gt;|Positive| T[Start high-dose CCB]</w:t>
      </w:r>
      <w:r>
        <w:br/>
      </w:r>
      <w:r>
        <w:rPr>
          <w:rStyle w:val="VerbatimChar"/>
        </w:rPr>
        <w:t xml:space="preserve">  T --&gt; U[Reassess at 3–6 months incl. RHC]</w:t>
      </w:r>
      <w:r>
        <w:br/>
      </w:r>
      <w:r>
        <w:rPr>
          <w:rStyle w:val="VerbatimChar"/>
        </w:rPr>
        <w:t xml:space="preserve">  U --&gt; V{Durable response?\nWHO-FC I–II + marked hemodynamic improvement}</w:t>
      </w:r>
      <w:r>
        <w:br/>
      </w:r>
      <w:r>
        <w:rPr>
          <w:rStyle w:val="VerbatimChar"/>
        </w:rPr>
        <w:t xml:space="preserve">  V --&gt;|Yes| W[Continue CCB + routine monitoring]</w:t>
      </w:r>
      <w:r>
        <w:br/>
      </w:r>
      <w:r>
        <w:rPr>
          <w:rStyle w:val="VerbatimChar"/>
        </w:rPr>
        <w:t xml:space="preserve">  V --&gt;|No| X[Proceed to standard PAH therapy]</w:t>
      </w:r>
      <w:r>
        <w:br/>
      </w:r>
      <w:r>
        <w:br/>
      </w:r>
      <w:r>
        <w:rPr>
          <w:rStyle w:val="VerbatimChar"/>
        </w:rPr>
        <w:t xml:space="preserve">  S --&gt;|Negative/Not candidate| X</w:t>
      </w:r>
      <w:r>
        <w:br/>
      </w:r>
      <w:r>
        <w:br/>
      </w:r>
      <w:r>
        <w:rPr>
          <w:rStyle w:val="VerbatimChar"/>
        </w:rPr>
        <w:t xml:space="preserve">  X --&gt; Y{Major cardiopulmonary comorbidities?}</w:t>
      </w:r>
      <w:r>
        <w:br/>
      </w:r>
      <w:r>
        <w:rPr>
          <w:rStyle w:val="VerbatimChar"/>
        </w:rPr>
        <w:t xml:space="preserve">  Y --&gt;|Yes| Y1[Start cautious oral monotherapy (ERA or PDE5i)\n+ close follow-up]</w:t>
      </w:r>
      <w:r>
        <w:br/>
      </w:r>
      <w:r>
        <w:rPr>
          <w:rStyle w:val="VerbatimChar"/>
        </w:rPr>
        <w:t xml:space="preserve">  Y1 --&gt; Y2{Intermediate/high risk on monotherapy?}</w:t>
      </w:r>
      <w:r>
        <w:br/>
      </w:r>
      <w:r>
        <w:rPr>
          <w:rStyle w:val="VerbatimChar"/>
        </w:rPr>
        <w:t xml:space="preserve">  Y2 --&gt;|Yes| Y3[Individualized add-on therapy\nin PH center]</w:t>
      </w:r>
      <w:r>
        <w:br/>
      </w:r>
      <w:r>
        <w:rPr>
          <w:rStyle w:val="VerbatimChar"/>
        </w:rPr>
        <w:t xml:space="preserve">  Y2 --&gt;|No| Y4[Continue + reassess every 3–6 months]</w:t>
      </w:r>
      <w:r>
        <w:br/>
      </w:r>
      <w:r>
        <w:br/>
      </w:r>
      <w:r>
        <w:rPr>
          <w:rStyle w:val="VerbatimChar"/>
        </w:rPr>
        <w:t xml:space="preserve">  Y --&gt;|No| Z[Select initial therapy by baseline risk]</w:t>
      </w:r>
      <w:r>
        <w:br/>
      </w:r>
      <w:r>
        <w:rPr>
          <w:rStyle w:val="VerbatimChar"/>
        </w:rPr>
        <w:t xml:space="preserve">  Z --&gt; Z1{High risk at diagnosis?}</w:t>
      </w:r>
      <w:r>
        <w:br/>
      </w:r>
      <w:r>
        <w:rPr>
          <w:rStyle w:val="VerbatimChar"/>
        </w:rPr>
        <w:t xml:space="preserve">  Z1 --&gt;|Yes| Z2[Upfront combination including\nIV/SC prostacyclin + ERA + PDE5i]</w:t>
      </w:r>
      <w:r>
        <w:br/>
      </w:r>
      <w:r>
        <w:rPr>
          <w:rStyle w:val="VerbatimChar"/>
        </w:rPr>
        <w:t xml:space="preserve">  Z1 --&gt;|No| Z3[Initial ERA + PDE5i dual therapy]</w:t>
      </w:r>
      <w:r>
        <w:br/>
      </w:r>
      <w:r>
        <w:br/>
      </w:r>
      <w:r>
        <w:rPr>
          <w:rStyle w:val="VerbatimChar"/>
        </w:rPr>
        <w:t xml:space="preserve">  Z2 --&gt; AA[Reassess every 3–6 months (4-strata)]</w:t>
      </w:r>
      <w:r>
        <w:br/>
      </w:r>
      <w:r>
        <w:rPr>
          <w:rStyle w:val="VerbatimChar"/>
        </w:rPr>
        <w:t xml:space="preserve">  Z3 --&gt; AA</w:t>
      </w:r>
      <w:r>
        <w:br/>
      </w:r>
      <w:r>
        <w:br/>
      </w:r>
      <w:r>
        <w:rPr>
          <w:rStyle w:val="VerbatimChar"/>
        </w:rPr>
        <w:t xml:space="preserve">  AA --&gt; AB{Follow-up risk (WHO-FC/6MWD/BNP/NT-proBNP)}</w:t>
      </w:r>
      <w:r>
        <w:br/>
      </w:r>
      <w:r>
        <w:rPr>
          <w:rStyle w:val="VerbatimChar"/>
        </w:rPr>
        <w:t xml:space="preserve">  AB --&gt;|Low risk| AC[Continue therapy + monitor]</w:t>
      </w:r>
      <w:r>
        <w:br/>
      </w:r>
      <w:r>
        <w:rPr>
          <w:rStyle w:val="VerbatimChar"/>
        </w:rPr>
        <w:t xml:space="preserve">  AB --&gt;|Intermediate-low| AD[Escalate: add selexipag and/or\nconsider PDE5i→riociguat switch]</w:t>
      </w:r>
      <w:r>
        <w:br/>
      </w:r>
      <w:r>
        <w:rPr>
          <w:rStyle w:val="VerbatimChar"/>
        </w:rPr>
        <w:t xml:space="preserve">  AB --&gt;|Intermediate-high or High| AE[Escalate: add IV/SC prostacyclin;\nrefer for lung transplant evaluation]</w:t>
      </w:r>
      <w:r>
        <w:br/>
      </w:r>
      <w:r>
        <w:br/>
      </w:r>
      <w:r>
        <w:rPr>
          <w:rStyle w:val="VerbatimChar"/>
        </w:rPr>
        <w:t xml:space="preserve">  AE --&gt; AF{Meets transplant listing threshold?}</w:t>
      </w:r>
      <w:r>
        <w:br/>
      </w:r>
      <w:r>
        <w:rPr>
          <w:rStyle w:val="VerbatimChar"/>
        </w:rPr>
        <w:t xml:space="preserve">  AF --&gt;|Yes| AG[List for transplant per center criteria]</w:t>
      </w:r>
      <w:r>
        <w:br/>
      </w:r>
      <w:r>
        <w:rPr>
          <w:rStyle w:val="VerbatimChar"/>
        </w:rPr>
        <w:t xml:space="preserve">  AF --&gt;|No| AH[Maximize therapy; consider bridging options\nin specialized centers]</w:t>
      </w:r>
      <w:r>
        <w:br/>
      </w:r>
      <w:r>
        <w:br/>
      </w:r>
      <w:r>
        <w:rPr>
          <w:rStyle w:val="VerbatimChar"/>
        </w:rPr>
        <w:t xml:space="preserve">  %% Post-capillary branch</w:t>
      </w:r>
      <w:r>
        <w:br/>
      </w:r>
      <w:r>
        <w:rPr>
          <w:rStyle w:val="VerbatimChar"/>
        </w:rPr>
        <w:t xml:space="preserve">  F --&gt;|Yes| P2[Group 2 PH (LHD) likely]</w:t>
      </w:r>
      <w:r>
        <w:br/>
      </w:r>
      <w:r>
        <w:rPr>
          <w:rStyle w:val="VerbatimChar"/>
        </w:rPr>
        <w:t xml:space="preserve">  P2 --&gt; P3[Optimize LHD (HF/valve) first]</w:t>
      </w:r>
      <w:r>
        <w:br/>
      </w:r>
      <w:r>
        <w:rPr>
          <w:rStyle w:val="VerbatimChar"/>
        </w:rPr>
        <w:t xml:space="preserve">  P3 --&gt; P4{Severe pre-capillary component or unclear diagnosis?}</w:t>
      </w:r>
      <w:r>
        <w:br/>
      </w:r>
      <w:r>
        <w:rPr>
          <w:rStyle w:val="VerbatimChar"/>
        </w:rPr>
        <w:t xml:space="preserve">  P4 --&gt;|Yes| P5[Refer to PH center for full work-up]</w:t>
      </w:r>
      <w:r>
        <w:br/>
      </w:r>
      <w:r>
        <w:rPr>
          <w:rStyle w:val="VerbatimChar"/>
        </w:rPr>
        <w:t xml:space="preserve">  P4 --&gt;|No| P6[Continue LHD management; avoid PAH drugs]</w:t>
      </w:r>
    </w:p>
    <w:bookmarkEnd w:id="38"/>
    <w:bookmarkStart w:id="39" w:name="operational-details-for-each-pathway"/>
    <w:p>
      <w:pPr>
        <w:pStyle w:val="Heading3"/>
      </w:pPr>
      <w:r>
        <w:t xml:space="preserve">Operational details for each pathway</w:t>
      </w:r>
    </w:p>
    <w:p>
      <w:pPr>
        <w:pStyle w:val="FirstParagraph"/>
      </w:pPr>
      <w:r>
        <w:rPr>
          <w:b/>
          <w:bCs/>
        </w:rPr>
        <w:t xml:space="preserve">PAH therapy initiation and escalation (Group 1):</w:t>
      </w:r>
      <w:r>
        <w:t xml:space="preserve"> </w:t>
      </w:r>
      <w:r>
        <w:t xml:space="preserve">The ESC/ERS algorithm’s most implementable “discrete” triggers are the combination of (a) baseline risk category and (b) follow-up 4-strata category, with reassessment timing from Table 17.</w:t>
      </w:r>
      <w:r>
        <w:t xml:space="preserve"> </w:t>
      </w:r>
      <w:hyperlink r:id="rId21">
        <w:r>
          <w:rPr>
            <w:rStyle w:val="Hyperlink"/>
          </w:rPr>
          <w:t xml:space="preserve">[65]</w:t>
        </w:r>
      </w:hyperlink>
      <w:r>
        <w:br/>
      </w:r>
      <w:r>
        <w:t xml:space="preserve">- For newly diagnosed PAH at</w:t>
      </w:r>
      <w:r>
        <w:t xml:space="preserve"> </w:t>
      </w:r>
      <w:r>
        <w:rPr>
          <w:b/>
          <w:bCs/>
        </w:rPr>
        <w:t xml:space="preserve">low or intermediate risk</w:t>
      </w:r>
      <w:r>
        <w:t xml:space="preserve">, initial ERA + PDE5i is recommended.</w:t>
      </w:r>
      <w:r>
        <w:t xml:space="preserve"> </w:t>
      </w:r>
      <w:hyperlink r:id="rId21">
        <w:r>
          <w:rPr>
            <w:rStyle w:val="Hyperlink"/>
          </w:rPr>
          <w:t xml:space="preserve">[7]</w:t>
        </w:r>
      </w:hyperlink>
      <w:r>
        <w:br/>
      </w:r>
      <w:r>
        <w:t xml:space="preserve">- For</w:t>
      </w:r>
      <w:r>
        <w:t xml:space="preserve"> </w:t>
      </w:r>
      <w:r>
        <w:rPr>
          <w:b/>
          <w:bCs/>
        </w:rPr>
        <w:t xml:space="preserve">high-risk</w:t>
      </w:r>
      <w:r>
        <w:t xml:space="preserve"> </w:t>
      </w:r>
      <w:r>
        <w:t xml:space="preserve">patients, initial therapy should incorporate parenteral prostacyclin as part of combination therapy (and may be considered even in intermediate risk with severe hemodynamic impairment).</w:t>
      </w:r>
      <w:r>
        <w:t xml:space="preserve"> </w:t>
      </w:r>
      <w:hyperlink r:id="rId21">
        <w:r>
          <w:rPr>
            <w:rStyle w:val="Hyperlink"/>
          </w:rPr>
          <w:t xml:space="preserve">[50]</w:t>
        </w:r>
      </w:hyperlink>
      <w:r>
        <w:br/>
      </w:r>
      <w:r>
        <w:t xml:space="preserve">- Escalation at follow-up should be driven by failure to achieve low risk, with intermediate-low vs intermediate-high separation (Table 18) serving as an escalation fork.</w:t>
      </w:r>
      <w:r>
        <w:t xml:space="preserve"> </w:t>
      </w:r>
      <w:hyperlink r:id="rId21">
        <w:r>
          <w:rPr>
            <w:rStyle w:val="Hyperlink"/>
          </w:rPr>
          <w:t xml:space="preserve">[66]</w:t>
        </w:r>
      </w:hyperlink>
    </w:p>
    <w:p>
      <w:pPr>
        <w:pStyle w:val="BodyText"/>
      </w:pPr>
      <w:r>
        <w:rPr>
          <w:b/>
          <w:bCs/>
        </w:rPr>
        <w:t xml:space="preserve">CTEPH management (Group 4):</w:t>
      </w:r>
      <w:r>
        <w:t xml:space="preserve"> </w:t>
      </w:r>
      <w:r>
        <w:t xml:space="preserve">The algorithm should treat</w:t>
      </w:r>
      <w:r>
        <w:t xml:space="preserve"> </w:t>
      </w:r>
      <w:r>
        <w:rPr>
          <w:b/>
          <w:bCs/>
        </w:rPr>
        <w:t xml:space="preserve">CTEPH team evaluation</w:t>
      </w:r>
      <w:r>
        <w:t xml:space="preserve"> </w:t>
      </w:r>
      <w:r>
        <w:t xml:space="preserve">as a hard requirement and embed treatment modality sequencing: anticoagulation → operability assessment → PEA (if feasible) → BPA and/or riociguat if inoperable or residual, with long-term follow-up and multimodality management as needed.</w:t>
      </w:r>
      <w:r>
        <w:t xml:space="preserve"> </w:t>
      </w:r>
      <w:hyperlink r:id="rId21">
        <w:r>
          <w:rPr>
            <w:rStyle w:val="Hyperlink"/>
          </w:rPr>
          <w:t xml:space="preserve">[61]</w:t>
        </w:r>
      </w:hyperlink>
    </w:p>
    <w:p>
      <w:pPr>
        <w:pStyle w:val="BodyText"/>
      </w:pPr>
      <w:r>
        <w:rPr>
          <w:b/>
          <w:bCs/>
        </w:rPr>
        <w:t xml:space="preserve">Group 3 (lung disease) targeted therapy limitations:</w:t>
      </w:r>
      <w:r>
        <w:t xml:space="preserve"> </w:t>
      </w:r>
      <w:r>
        <w:t xml:space="preserve">The decision support should (1) drive optimization of lung disease and oxygenation, (2) use referral triggers for severe PH/RV dysfunction, and (3) allow inhaled treprostinil consideration in ILD-PH while guarding against broad off-label PAH-drug use in non-severe PH.</w:t>
      </w:r>
      <w:r>
        <w:t xml:space="preserve"> </w:t>
      </w:r>
      <w:hyperlink r:id="rId21">
        <w:r>
          <w:rPr>
            <w:rStyle w:val="Hyperlink"/>
          </w:rPr>
          <w:t xml:space="preserve">[67]</w:t>
        </w:r>
      </w:hyperlink>
    </w:p>
    <w:p>
      <w:pPr>
        <w:pStyle w:val="BodyText"/>
      </w:pPr>
      <w:r>
        <w:rPr>
          <w:b/>
          <w:bCs/>
        </w:rPr>
        <w:t xml:space="preserve">Group 2 (LHD) guardrail:</w:t>
      </w:r>
      <w:r>
        <w:t xml:space="preserve"> </w:t>
      </w:r>
      <w:r>
        <w:t xml:space="preserve">The algorithm should explicitly block routine PAH-drug initiation for PH-LHD given the guideline recommendation against PAH drugs (Class III A) and instead route to LHD optimization and PH-center referral only for unclear diagnosis or severe pre-capillary component.</w:t>
      </w:r>
      <w:r>
        <w:t xml:space="preserve"> </w:t>
      </w:r>
      <w:hyperlink r:id="rId21">
        <w:r>
          <w:rPr>
            <w:rStyle w:val="Hyperlink"/>
          </w:rPr>
          <w:t xml:space="preserve">[68]</w:t>
        </w:r>
      </w:hyperlink>
    </w:p>
    <w:p>
      <w:pPr>
        <w:pStyle w:val="BodyText"/>
      </w:pPr>
      <w:r>
        <w:rPr>
          <w:b/>
          <w:bCs/>
        </w:rPr>
        <w:t xml:space="preserve">Referral to PH centers and required capabilities:</w:t>
      </w:r>
      <w:r>
        <w:t xml:space="preserve"> </w:t>
      </w:r>
      <w:r>
        <w:t xml:space="preserve">When implementing a clinical decision algorithm in general practice settings, “refer-to-center” is itself an escalation action. PH centers are recommended to have multidisciplinary expertise, referral connections to PEA/BPA and transplant services, and sufficient PH case volume to maintain expertise.</w:t>
      </w:r>
      <w:r>
        <w:t xml:space="preserve"> </w:t>
      </w:r>
      <w:hyperlink r:id="rId21">
        <w:r>
          <w:rPr>
            <w:rStyle w:val="Hyperlink"/>
          </w:rPr>
          <w:t xml:space="preserve">[69]</w:t>
        </w:r>
      </w:hyperlink>
    </w:p>
    <w:bookmarkEnd w:id="39"/>
    <w:bookmarkEnd w:id="40"/>
    <w:bookmarkStart w:id="41" w:name="cross-guideline-comparison-and-conflicts"/>
    <w:p>
      <w:pPr>
        <w:pStyle w:val="Heading2"/>
      </w:pPr>
      <w:r>
        <w:t xml:space="preserve">Cross-Guideline Comparison and Conflicts</w:t>
      </w:r>
    </w:p>
    <w:p>
      <w:pPr>
        <w:pStyle w:val="FirstParagraph"/>
      </w:pPr>
      <w:r>
        <w:t xml:space="preserve">The table below compares clinically relevant “start/escalate” decisions across major sources and highlights conflicts that algorithm designers must resolve (often by choosing a “default” guideline and representing alternatives as configurable options).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Decision point</w:t>
            </w:r>
          </w:p>
        </w:tc>
        <w:tc>
          <w:tcPr/>
          <w:p>
            <w:pPr>
              <w:pStyle w:val="Compact"/>
            </w:pPr>
            <w:r>
              <w:t xml:space="preserve">ESC/ERS 2022</w:t>
            </w:r>
          </w:p>
        </w:tc>
        <w:tc>
          <w:tcPr/>
          <w:p>
            <w:pPr>
              <w:pStyle w:val="Compact"/>
            </w:pPr>
            <w:r>
              <w:t xml:space="preserve">CHEST 2019 (ACCP)</w:t>
            </w:r>
          </w:p>
        </w:tc>
        <w:tc>
          <w:tcPr/>
          <w:p>
            <w:pPr>
              <w:pStyle w:val="Compact"/>
            </w:pPr>
            <w:r>
              <w:t xml:space="preserve">WSPH 2024</w:t>
            </w:r>
          </w:p>
        </w:tc>
        <w:tc>
          <w:tcPr/>
          <w:p>
            <w:pPr>
              <w:pStyle w:val="Compact"/>
            </w:pPr>
            <w:r>
              <w:t xml:space="preserve">NICE (UK)</w:t>
            </w:r>
          </w:p>
        </w:tc>
        <w:tc>
          <w:tcPr/>
          <w:p>
            <w:pPr>
              <w:pStyle w:val="Compact"/>
            </w:pPr>
            <w:r>
              <w:t xml:space="preserve">Key conflict / resolution for algorithms</w:t>
            </w:r>
          </w:p>
        </w:tc>
      </w:tr>
      <w:tr>
        <w:tc>
          <w:tcPr/>
          <w:p>
            <w:pPr>
              <w:pStyle w:val="Compact"/>
            </w:pPr>
            <w:r>
              <w:t xml:space="preserve">Primary organizing principle</w:t>
            </w:r>
          </w:p>
        </w:tc>
        <w:tc>
          <w:tcPr/>
          <w:p>
            <w:pPr>
              <w:pStyle w:val="Compact"/>
            </w:pPr>
            <w:r>
              <w:t xml:space="preserve">Risk-based treat-to-target (baseline 3-strata; follow-up 4-strata)</w:t>
            </w:r>
            <w:r>
              <w:t xml:space="preserve"> </w:t>
            </w:r>
            <w:hyperlink r:id="rId21">
              <w:r>
                <w:rPr>
                  <w:rStyle w:val="Hyperlink"/>
                </w:rPr>
                <w:t xml:space="preserve">[70]</w:t>
              </w:r>
            </w:hyperlink>
          </w:p>
        </w:tc>
        <w:tc>
          <w:tcPr/>
          <w:p>
            <w:pPr>
              <w:pStyle w:val="Compact"/>
            </w:pPr>
            <w:r>
              <w:t xml:space="preserve">WHO-FC oriented; considers willingness/ability to tolerate combination; many statements ungraded consensus</w:t>
            </w:r>
            <w:r>
              <w:t xml:space="preserve"> </w:t>
            </w:r>
            <w:hyperlink r:id="rId25">
              <w:r>
                <w:rPr>
                  <w:rStyle w:val="Hyperlink"/>
                </w:rPr>
                <w:t xml:space="preserve">[71]</w:t>
              </w:r>
            </w:hyperlink>
          </w:p>
        </w:tc>
        <w:tc>
          <w:tcPr/>
          <w:p>
            <w:pPr>
              <w:pStyle w:val="Compact"/>
            </w:pPr>
            <w:r>
              <w:t xml:space="preserve">Risk-based with early/frequent reassessment; emphasizes combination and new 4th pathway (sotatercept)</w:t>
            </w:r>
            <w:r>
              <w:t xml:space="preserve"> </w:t>
            </w:r>
            <w:hyperlink r:id="rId24">
              <w:r>
                <w:rPr>
                  <w:rStyle w:val="Hyperlink"/>
                </w:rPr>
                <w:t xml:space="preserve">[72]</w:t>
              </w:r>
            </w:hyperlink>
          </w:p>
        </w:tc>
        <w:tc>
          <w:tcPr/>
          <w:p>
            <w:pPr>
              <w:pStyle w:val="Compact"/>
            </w:pPr>
            <w:r>
              <w:t xml:space="preserve">Technology appraisal framing; not a unified PH clinical guideline; current sotatercept appraisal in development</w:t>
            </w:r>
            <w:r>
              <w:t xml:space="preserve"> </w:t>
            </w:r>
            <w:hyperlink r:id="rId28">
              <w:r>
                <w:rPr>
                  <w:rStyle w:val="Hyperlink"/>
                </w:rPr>
                <w:t xml:space="preserve">[32]</w:t>
              </w:r>
            </w:hyperlink>
          </w:p>
        </w:tc>
        <w:tc>
          <w:tcPr/>
          <w:p>
            <w:pPr>
              <w:pStyle w:val="Compact"/>
            </w:pPr>
            <w:r>
              <w:t xml:space="preserve">Choose a “primary spine” (ESC/ERS or WSPH); represent CHEST as an alternate rule set for FC-based sites</w:t>
            </w:r>
          </w:p>
        </w:tc>
      </w:tr>
      <w:tr>
        <w:tc>
          <w:tcPr/>
          <w:p>
            <w:pPr>
              <w:pStyle w:val="Compact"/>
            </w:pPr>
            <w:r>
              <w:t xml:space="preserve">Upfront dual oral therapy in PAH</w:t>
            </w:r>
          </w:p>
        </w:tc>
        <w:tc>
          <w:tcPr/>
          <w:p>
            <w:pPr>
              <w:pStyle w:val="Compact"/>
            </w:pPr>
            <w:r>
              <w:t xml:space="preserve">ERA + PDE5i recommended for low/intermediate-risk (Class I B)</w:t>
            </w:r>
            <w:r>
              <w:t xml:space="preserve"> </w:t>
            </w:r>
            <w:hyperlink r:id="rId21">
              <w:r>
                <w:rPr>
                  <w:rStyle w:val="Hyperlink"/>
                </w:rPr>
                <w:t xml:space="preserve">[7]</w:t>
              </w:r>
            </w:hyperlink>
          </w:p>
        </w:tc>
        <w:tc>
          <w:tcPr/>
          <w:p>
            <w:pPr>
              <w:pStyle w:val="Compact"/>
            </w:pPr>
            <w:r>
              <w:t xml:space="preserve">Recommends/suggests ambrisentan+tadalafil combination for FC II–III if willing/able (weak, moderate-quality evidence)</w:t>
            </w:r>
            <w:r>
              <w:t xml:space="preserve"> </w:t>
            </w:r>
            <w:hyperlink r:id="rId25">
              <w:r>
                <w:rPr>
                  <w:rStyle w:val="Hyperlink"/>
                </w:rPr>
                <w:t xml:space="preserve">[73]</w:t>
              </w:r>
            </w:hyperlink>
          </w:p>
        </w:tc>
        <w:tc>
          <w:tcPr/>
          <w:p>
            <w:pPr>
              <w:pStyle w:val="Compact"/>
            </w:pPr>
            <w:r>
              <w:t xml:space="preserve">Recommends ERA+PDE5i for non-high-risk baseline patients</w:t>
            </w:r>
            <w:r>
              <w:t xml:space="preserve"> </w:t>
            </w:r>
            <w:hyperlink r:id="rId24">
              <w:r>
                <w:rPr>
                  <w:rStyle w:val="Hyperlink"/>
                </w:rPr>
                <w:t xml:space="preserve">[72]</w:t>
              </w:r>
            </w:hyperlink>
          </w:p>
        </w:tc>
        <w:tc>
          <w:tcPr/>
          <w:p>
            <w:pPr>
              <w:pStyle w:val="Compact"/>
            </w:pPr>
            <w:r>
              <w:t xml:space="preserve">Older appraisals focused on FC III/IV for early drugs; limited clinical decision thresholds in publicly surfaced documents</w:t>
            </w:r>
            <w:r>
              <w:t xml:space="preserve"> </w:t>
            </w:r>
            <w:hyperlink r:id="rId28">
              <w:r>
                <w:rPr>
                  <w:rStyle w:val="Hyperlink"/>
                </w:rPr>
                <w:t xml:space="preserve">[74]</w:t>
              </w:r>
            </w:hyperlink>
          </w:p>
        </w:tc>
        <w:tc>
          <w:tcPr/>
          <w:p>
            <w:pPr>
              <w:pStyle w:val="Compact"/>
            </w:pPr>
            <w:r>
              <w:t xml:space="preserve">ESC/ERS is stronger/clearer; CHEST is compatible but graded weaker; implement ESC/ERS as default and show CHEST as “alternative explanation/justification”</w:t>
            </w:r>
          </w:p>
        </w:tc>
      </w:tr>
      <w:tr>
        <w:tc>
          <w:tcPr/>
          <w:p>
            <w:pPr>
              <w:pStyle w:val="Compact"/>
            </w:pPr>
            <w:r>
              <w:t xml:space="preserve">Upfront parenteral prostacyclin</w:t>
            </w:r>
          </w:p>
        </w:tc>
        <w:tc>
          <w:tcPr/>
          <w:p>
            <w:pPr>
              <w:pStyle w:val="Compact"/>
            </w:pPr>
            <w:r>
              <w:t xml:space="preserve">High-risk: combination including IV/SC prostacyclin should be considered (IIa C)</w:t>
            </w:r>
            <w:r>
              <w:t xml:space="preserve"> </w:t>
            </w:r>
            <w:hyperlink r:id="rId21">
              <w:r>
                <w:rPr>
                  <w:rStyle w:val="Hyperlink"/>
                </w:rPr>
                <w:t xml:space="preserve">[50]</w:t>
              </w:r>
            </w:hyperlink>
          </w:p>
        </w:tc>
        <w:tc>
          <w:tcPr/>
          <w:p>
            <w:pPr>
              <w:pStyle w:val="Compact"/>
            </w:pPr>
            <w:r>
              <w:t xml:space="preserve">FC IV: initiate parenteral prostanoid (mostly ungraded consensus)</w:t>
            </w:r>
            <w:r>
              <w:t xml:space="preserve"> </w:t>
            </w:r>
            <w:hyperlink r:id="rId25">
              <w:r>
                <w:rPr>
                  <w:rStyle w:val="Hyperlink"/>
                </w:rPr>
                <w:t xml:space="preserve">[75]</w:t>
              </w:r>
            </w:hyperlink>
          </w:p>
        </w:tc>
        <w:tc>
          <w:tcPr/>
          <w:p>
            <w:pPr>
              <w:pStyle w:val="Compact"/>
            </w:pPr>
            <w:r>
              <w:t xml:space="preserve">High-risk: parenteral prostacyclin + ERA + PDE5i recommended; considers some high-risk features in non-high risk</w:t>
            </w:r>
            <w:r>
              <w:t xml:space="preserve"> </w:t>
            </w:r>
            <w:hyperlink r:id="rId24">
              <w:r>
                <w:rPr>
                  <w:rStyle w:val="Hyperlink"/>
                </w:rPr>
                <w:t xml:space="preserve">[72]</w:t>
              </w:r>
            </w:hyperlink>
          </w:p>
        </w:tc>
        <w:tc>
          <w:tcPr/>
          <w:p>
            <w:pPr>
              <w:pStyle w:val="Compact"/>
            </w:pPr>
            <w:r>
              <w:t xml:space="preserve">Not a primary driver; UK practice shaped by commissioning/formulary</w:t>
            </w:r>
          </w:p>
        </w:tc>
        <w:tc>
          <w:tcPr/>
          <w:p>
            <w:pPr>
              <w:pStyle w:val="Compact"/>
            </w:pPr>
            <w:r>
              <w:t xml:space="preserve">Main “conflict” is framing: risk-based (ESC/ERS/WSPH) vs FC-based (CHEST). Implement both mappings (WHO-FC IV usually implies high risk)</w:t>
            </w:r>
          </w:p>
        </w:tc>
      </w:tr>
      <w:tr>
        <w:tc>
          <w:tcPr/>
          <w:p>
            <w:pPr>
              <w:pStyle w:val="Compact"/>
            </w:pPr>
            <w:r>
              <w:t xml:space="preserve">Follow-up escalation triggers</w:t>
            </w:r>
          </w:p>
        </w:tc>
        <w:tc>
          <w:tcPr/>
          <w:p>
            <w:pPr>
              <w:pStyle w:val="Compact"/>
            </w:pPr>
            <w:r>
              <w:t xml:space="preserve">Failure to achieve low risk (4-strata); intermediate-low vs intermediate-high guides adding selexipag/riociguat vs IV/SC prostacyclin + transplant referral</w:t>
            </w:r>
            <w:r>
              <w:t xml:space="preserve"> </w:t>
            </w:r>
            <w:hyperlink r:id="rId21">
              <w:r>
                <w:rPr>
                  <w:rStyle w:val="Hyperlink"/>
                </w:rPr>
                <w:t xml:space="preserve">[76]</w:t>
              </w:r>
            </w:hyperlink>
          </w:p>
        </w:tc>
        <w:tc>
          <w:tcPr/>
          <w:p>
            <w:pPr>
              <w:pStyle w:val="Compact"/>
            </w:pPr>
            <w:r>
              <w:t xml:space="preserve">Escalation based on persistent symptoms/FC and therapy response; includes transplant consideration when inadequate response</w:t>
            </w:r>
            <w:r>
              <w:t xml:space="preserve"> </w:t>
            </w:r>
            <w:hyperlink r:id="rId25">
              <w:r>
                <w:rPr>
                  <w:rStyle w:val="Hyperlink"/>
                </w:rPr>
                <w:t xml:space="preserve">[77]</w:t>
              </w:r>
            </w:hyperlink>
          </w:p>
        </w:tc>
        <w:tc>
          <w:tcPr/>
          <w:p>
            <w:pPr>
              <w:pStyle w:val="Compact"/>
            </w:pPr>
            <w:r>
              <w:t xml:space="preserve">Early/frequent reassessment; anticipates increasing role of newer agents; still notes oral triple (selexipag-based) not superior in TRITON</w:t>
            </w:r>
            <w:r>
              <w:t xml:space="preserve"> </w:t>
            </w:r>
            <w:hyperlink r:id="rId24">
              <w:r>
                <w:rPr>
                  <w:rStyle w:val="Hyperlink"/>
                </w:rPr>
                <w:t xml:space="preserve">[72]</w:t>
              </w:r>
            </w:hyperlink>
          </w:p>
        </w:tc>
        <w:tc>
          <w:tcPr/>
          <w:p>
            <w:pPr>
              <w:pStyle w:val="Compact"/>
            </w:pPr>
            <w:r>
              <w:t xml:space="preserve">Not explicit in a single NICE PH guideline</w:t>
            </w:r>
          </w:p>
        </w:tc>
        <w:tc>
          <w:tcPr/>
          <w:p>
            <w:pPr>
              <w:pStyle w:val="Compact"/>
            </w:pPr>
            <w:r>
              <w:t xml:space="preserve">ESC/ERS provides the cleanest machine-executable escalation thresholds; WSPH adds “new drug class” branch; implement modular plug-in for newly approved agents</w:t>
            </w:r>
          </w:p>
        </w:tc>
      </w:tr>
      <w:tr>
        <w:tc>
          <w:tcPr/>
          <w:p>
            <w:pPr>
              <w:pStyle w:val="Compact"/>
            </w:pPr>
            <w:r>
              <w:t xml:space="preserve">PAH in patients with cardiopulmonary comorbidities</w:t>
            </w:r>
          </w:p>
        </w:tc>
        <w:tc>
          <w:tcPr/>
          <w:p>
            <w:pPr>
              <w:pStyle w:val="Compact"/>
            </w:pPr>
            <w:r>
              <w:t xml:space="preserve">Initial monotherapy (IIa C); individualized add-on (IIb C)</w:t>
            </w:r>
            <w:r>
              <w:t xml:space="preserve"> </w:t>
            </w:r>
            <w:hyperlink r:id="rId21">
              <w:r>
                <w:rPr>
                  <w:rStyle w:val="Hyperlink"/>
                </w:rPr>
                <w:t xml:space="preserve">[11]</w:t>
              </w:r>
            </w:hyperlink>
          </w:p>
        </w:tc>
        <w:tc>
          <w:tcPr/>
          <w:p>
            <w:pPr>
              <w:pStyle w:val="Compact"/>
            </w:pPr>
            <w:r>
              <w:t xml:space="preserve">Less explicit phenotype approach; generally supports therapy selection based on FC and tolerability</w:t>
            </w:r>
            <w:r>
              <w:t xml:space="preserve"> </w:t>
            </w:r>
            <w:hyperlink r:id="rId25">
              <w:r>
                <w:rPr>
                  <w:rStyle w:val="Hyperlink"/>
                </w:rPr>
                <w:t xml:space="preserve">[71]</w:t>
              </w:r>
            </w:hyperlink>
          </w:p>
        </w:tc>
        <w:tc>
          <w:tcPr/>
          <w:p>
            <w:pPr>
              <w:pStyle w:val="Compact"/>
            </w:pPr>
            <w:r>
              <w:t xml:space="preserve">Stresses careful phenotyping; warns of harm/uncertainty in mixed phenotypes</w:t>
            </w:r>
            <w:r>
              <w:t xml:space="preserve"> </w:t>
            </w:r>
            <w:hyperlink r:id="rId24">
              <w:r>
                <w:rPr>
                  <w:rStyle w:val="Hyperlink"/>
                </w:rPr>
                <w:t xml:space="preserve">[72]</w:t>
              </w:r>
            </w:hyperlink>
          </w:p>
        </w:tc>
        <w:tc>
          <w:tcPr/>
          <w:p>
            <w:pPr>
              <w:pStyle w:val="Compact"/>
            </w:pPr>
            <w:r>
              <w:t xml:space="preserve">Not a driver</w:t>
            </w:r>
          </w:p>
        </w:tc>
        <w:tc>
          <w:tcPr/>
          <w:p>
            <w:pPr>
              <w:pStyle w:val="Compact"/>
            </w:pPr>
            <w:r>
              <w:t xml:space="preserve">Algorithms should require a “phenotypically clear PAH?” checkpoint before applying standard PAH escalation rules</w:t>
            </w:r>
          </w:p>
        </w:tc>
      </w:tr>
      <w:tr>
        <w:tc>
          <w:tcPr/>
          <w:p>
            <w:pPr>
              <w:pStyle w:val="Compact"/>
            </w:pPr>
            <w:r>
              <w:t xml:space="preserve">Group 2 PH</w:t>
            </w:r>
          </w:p>
        </w:tc>
        <w:tc>
          <w:tcPr/>
          <w:p>
            <w:pPr>
              <w:pStyle w:val="Compact"/>
            </w:pPr>
            <w:r>
              <w:t xml:space="preserve">Avoid PAH drugs in PH-LHD (III A)</w:t>
            </w:r>
            <w:r>
              <w:t xml:space="preserve"> </w:t>
            </w:r>
            <w:hyperlink r:id="rId21">
              <w:r>
                <w:rPr>
                  <w:rStyle w:val="Hyperlink"/>
                </w:rPr>
                <w:t xml:space="preserve">[4]</w:t>
              </w:r>
            </w:hyperlink>
          </w:p>
        </w:tc>
        <w:tc>
          <w:tcPr/>
          <w:p>
            <w:pPr>
              <w:pStyle w:val="Compact"/>
            </w:pPr>
            <w:r>
              <w:t xml:space="preserve">Not a comprehensive guideline for Group 2</w:t>
            </w:r>
          </w:p>
        </w:tc>
        <w:tc>
          <w:tcPr/>
          <w:p>
            <w:pPr>
              <w:pStyle w:val="Compact"/>
            </w:pPr>
            <w:r>
              <w:t xml:space="preserve">Recognizes uncertainty/harm potential</w:t>
            </w:r>
            <w:r>
              <w:t xml:space="preserve"> </w:t>
            </w:r>
            <w:hyperlink r:id="rId24">
              <w:r>
                <w:rPr>
                  <w:rStyle w:val="Hyperlink"/>
                </w:rPr>
                <w:t xml:space="preserve">[72]</w:t>
              </w:r>
            </w:hyperlink>
          </w:p>
        </w:tc>
        <w:tc>
          <w:tcPr/>
          <w:p>
            <w:pPr>
              <w:pStyle w:val="Compact"/>
            </w:pPr>
            <w:r>
              <w:t xml:space="preserve">Not a driver</w:t>
            </w:r>
          </w:p>
        </w:tc>
        <w:tc>
          <w:tcPr/>
          <w:p>
            <w:pPr>
              <w:pStyle w:val="Compact"/>
            </w:pPr>
            <w:r>
              <w:t xml:space="preserve">Implement “hard stop” guardrail: no PAH drugs unless PH-center individualized plan and diagnostic uncertainty branch</w:t>
            </w:r>
          </w:p>
        </w:tc>
      </w:tr>
      <w:tr>
        <w:tc>
          <w:tcPr/>
          <w:p>
            <w:pPr>
              <w:pStyle w:val="Compact"/>
            </w:pPr>
            <w:r>
              <w:t xml:space="preserve">Group 3 PH</w:t>
            </w:r>
          </w:p>
        </w:tc>
        <w:tc>
          <w:tcPr/>
          <w:p>
            <w:pPr>
              <w:pStyle w:val="Compact"/>
            </w:pPr>
            <w:r>
              <w:t xml:space="preserve">Inhaled treprostinil may be considered in ILD-PH (IIb B); PAH therapy not recommended in non-severe Group 3 PH</w:t>
            </w:r>
            <w:r>
              <w:t xml:space="preserve"> </w:t>
            </w:r>
            <w:hyperlink r:id="rId21">
              <w:r>
                <w:rPr>
                  <w:rStyle w:val="Hyperlink"/>
                </w:rPr>
                <w:t xml:space="preserve">[78]</w:t>
              </w:r>
            </w:hyperlink>
          </w:p>
        </w:tc>
        <w:tc>
          <w:tcPr/>
          <w:p>
            <w:pPr>
              <w:pStyle w:val="Compact"/>
            </w:pPr>
            <w:r>
              <w:t xml:space="preserve">Not comprehensive</w:t>
            </w:r>
          </w:p>
        </w:tc>
        <w:tc>
          <w:tcPr/>
          <w:p>
            <w:pPr>
              <w:pStyle w:val="Compact"/>
            </w:pPr>
            <w:r>
              <w:t xml:space="preserve">Emphasizes phenotyping and caution</w:t>
            </w:r>
            <w:r>
              <w:t xml:space="preserve"> </w:t>
            </w:r>
            <w:hyperlink r:id="rId24">
              <w:r>
                <w:rPr>
                  <w:rStyle w:val="Hyperlink"/>
                </w:rPr>
                <w:t xml:space="preserve">[72]</w:t>
              </w:r>
            </w:hyperlink>
          </w:p>
        </w:tc>
        <w:tc>
          <w:tcPr/>
          <w:p>
            <w:pPr>
              <w:pStyle w:val="Compact"/>
            </w:pPr>
            <w:r>
              <w:t xml:space="preserve">Not a driver</w:t>
            </w:r>
          </w:p>
        </w:tc>
        <w:tc>
          <w:tcPr/>
          <w:p>
            <w:pPr>
              <w:pStyle w:val="Compact"/>
            </w:pPr>
            <w:r>
              <w:t xml:space="preserve">Implement ILD-specific targeted therapy option and require PH-center oversight for PDE5i in severe ILD-PH</w:t>
            </w:r>
          </w:p>
        </w:tc>
      </w:tr>
      <w:tr>
        <w:tc>
          <w:tcPr/>
          <w:p>
            <w:pPr>
              <w:pStyle w:val="Compact"/>
            </w:pPr>
            <w:r>
              <w:t xml:space="preserve">Transplant referral/listing threshold</w:t>
            </w:r>
          </w:p>
        </w:tc>
        <w:tc>
          <w:tcPr/>
          <w:p>
            <w:pPr>
              <w:pStyle w:val="Compact"/>
            </w:pPr>
            <w:r>
              <w:t xml:space="preserve">Referral: intermediate-high/high risk or REVEAL &gt;7; listing: persistent high risk or REVEAL ≥10 on optimized therapy incl. prostacyclin</w:t>
            </w:r>
            <w:r>
              <w:t xml:space="preserve"> </w:t>
            </w:r>
            <w:hyperlink r:id="rId21">
              <w:r>
                <w:rPr>
                  <w:rStyle w:val="Hyperlink"/>
                </w:rPr>
                <w:t xml:space="preserve">[12]</w:t>
              </w:r>
            </w:hyperlink>
          </w:p>
        </w:tc>
        <w:tc>
          <w:tcPr/>
          <w:p>
            <w:pPr>
              <w:pStyle w:val="Compact"/>
            </w:pPr>
            <w:r>
              <w:t xml:space="preserve">Advises early counseling/referral to avoid delayed listing (cites transplant guidance)</w:t>
            </w:r>
            <w:r>
              <w:t xml:space="preserve"> </w:t>
            </w:r>
            <w:hyperlink r:id="rId25">
              <w:r>
                <w:rPr>
                  <w:rStyle w:val="Hyperlink"/>
                </w:rPr>
                <w:t xml:space="preserve">[79]</w:t>
              </w:r>
            </w:hyperlink>
          </w:p>
        </w:tc>
        <w:tc>
          <w:tcPr/>
          <w:p>
            <w:pPr>
              <w:pStyle w:val="Compact"/>
            </w:pPr>
            <w:r>
              <w:t xml:space="preserve">Emphasizes early transplant discussion in high-risk patients</w:t>
            </w:r>
            <w:r>
              <w:t xml:space="preserve"> </w:t>
            </w:r>
            <w:hyperlink r:id="rId24">
              <w:r>
                <w:rPr>
                  <w:rStyle w:val="Hyperlink"/>
                </w:rPr>
                <w:t xml:space="preserve">[72]</w:t>
              </w:r>
            </w:hyperlink>
          </w:p>
        </w:tc>
        <w:tc>
          <w:tcPr/>
          <w:p>
            <w:pPr>
              <w:pStyle w:val="Compact"/>
            </w:pPr>
            <w:r>
              <w:t xml:space="preserve">Not a driver</w:t>
            </w:r>
          </w:p>
        </w:tc>
        <w:tc>
          <w:tcPr/>
          <w:p>
            <w:pPr>
              <w:pStyle w:val="Compact"/>
            </w:pPr>
            <w:r>
              <w:t xml:space="preserve">Use ESC/ERS as threshold rules; map to transplant-center variability as configurable constraints</w:t>
            </w:r>
          </w:p>
        </w:tc>
      </w:tr>
      <w:tr>
        <w:tc>
          <w:tcPr/>
          <w:p>
            <w:pPr>
              <w:pStyle w:val="Compact"/>
            </w:pPr>
            <w:r>
              <w:t xml:space="preserve">Decision-support/center standards</w:t>
            </w:r>
          </w:p>
        </w:tc>
        <w:tc>
          <w:tcPr/>
          <w:p>
            <w:pPr>
              <w:pStyle w:val="Compact"/>
            </w:pPr>
            <w:r>
              <w:t xml:space="preserve">PH centers: MDT care, quick referral patterns, registries, accreditation &amp; case volume</w:t>
            </w:r>
            <w:r>
              <w:t xml:space="preserve"> </w:t>
            </w:r>
            <w:hyperlink r:id="rId21">
              <w:r>
                <w:rPr>
                  <w:rStyle w:val="Hyperlink"/>
                </w:rPr>
                <w:t xml:space="preserve">[80]</w:t>
              </w:r>
            </w:hyperlink>
          </w:p>
        </w:tc>
        <w:tc>
          <w:tcPr/>
          <w:p>
            <w:pPr>
              <w:pStyle w:val="Compact"/>
            </w:pPr>
            <w:r>
              <w:t xml:space="preserve">Recommends expert center care in complex cases (less operationalized)</w:t>
            </w:r>
            <w:r>
              <w:t xml:space="preserve"> </w:t>
            </w:r>
            <w:hyperlink r:id="rId25">
              <w:r>
                <w:rPr>
                  <w:rStyle w:val="Hyperlink"/>
                </w:rPr>
                <w:t xml:space="preserve">[79]</w:t>
              </w:r>
            </w:hyperlink>
          </w:p>
        </w:tc>
        <w:tc>
          <w:tcPr/>
          <w:p>
            <w:pPr>
              <w:pStyle w:val="Compact"/>
            </w:pPr>
            <w:r>
              <w:t xml:space="preserve">Similar ethos</w:t>
            </w:r>
          </w:p>
        </w:tc>
        <w:tc>
          <w:tcPr/>
          <w:p>
            <w:pPr>
              <w:pStyle w:val="Compact"/>
            </w:pPr>
            <w:r>
              <w:t xml:space="preserve">PHA accreditation criteria provide operational standards for centers</w:t>
            </w:r>
            <w:r>
              <w:t xml:space="preserve"> </w:t>
            </w:r>
            <w:hyperlink r:id="rId26">
              <w:r>
                <w:rPr>
                  <w:rStyle w:val="Hyperlink"/>
                </w:rPr>
                <w:t xml:space="preserve">[28]</w:t>
              </w:r>
            </w:hyperlink>
          </w:p>
        </w:tc>
        <w:tc>
          <w:tcPr/>
          <w:p>
            <w:pPr>
              <w:pStyle w:val="Compact"/>
            </w:pPr>
            <w:r>
              <w:t xml:space="preserve">Implement referral triggers and center capability checks; align with local accreditation structures</w:t>
            </w:r>
          </w:p>
        </w:tc>
      </w:tr>
    </w:tbl>
    <w:bookmarkEnd w:id="41"/>
    <w:bookmarkStart w:id="42" w:name="X86e412d633aed4dad4ecc238b66b7539545ecd3"/>
    <w:p>
      <w:pPr>
        <w:pStyle w:val="Heading2"/>
      </w:pPr>
      <w:r>
        <w:t xml:space="preserve">Gaps, Controversies, and Expert-Judgment Areas</w:t>
      </w:r>
    </w:p>
    <w:p>
      <w:pPr>
        <w:pStyle w:val="FirstParagraph"/>
      </w:pPr>
      <w:r>
        <w:t xml:space="preserve">Borderline/mildly elevated hemodynamics remain a major unresolved area. WSPH notes a lack of evidence for initiating PAH therapies in patients with only mildly elevated pulmonary pressures/PVR and recommends close monitoring and clinical trial enrollment when possible; if therapy is started despite limited data, monotherapy is favored over combination.</w:t>
      </w:r>
      <w:r>
        <w:t xml:space="preserve"> </w:t>
      </w:r>
      <w:hyperlink r:id="rId24">
        <w:r>
          <w:rPr>
            <w:rStyle w:val="Hyperlink"/>
          </w:rPr>
          <w:t xml:space="preserve">[72]</w:t>
        </w:r>
      </w:hyperlink>
      <w:r>
        <w:t xml:space="preserve"> </w:t>
      </w:r>
      <w:r>
        <w:t xml:space="preserve">This creates tension with the desire for early intervention and will require explicit algorithm policy decisions (e.g., “treat only when risk markers emerge” vs “treat when diagnostic certainty is high and progression risk is judged high”).</w:t>
      </w:r>
    </w:p>
    <w:p>
      <w:pPr>
        <w:pStyle w:val="BodyText"/>
      </w:pPr>
      <w:r>
        <w:t xml:space="preserve">Risk stratification tools are powerful but imperfect. ESC/ERS acknowledges limitations such as missing key variables (WHO-FC, 6MWD, BNP/NT-proBNP) degrading accuracy and emphasizes at least those three measures where possible.</w:t>
      </w:r>
      <w:r>
        <w:t xml:space="preserve"> </w:t>
      </w:r>
      <w:hyperlink r:id="rId21">
        <w:r>
          <w:rPr>
            <w:rStyle w:val="Hyperlink"/>
          </w:rPr>
          <w:t xml:space="preserve">[81]</w:t>
        </w:r>
      </w:hyperlink>
      <w:r>
        <w:t xml:space="preserve"> </w:t>
      </w:r>
      <w:r>
        <w:t xml:space="preserve">COMPERA 2.0 supports refined intermediate risk discrimination, but translation into a single “universal” escalation threshold still relies on expert judgment in atypical etiologies and comorbidity-heavy phenotypes.</w:t>
      </w:r>
      <w:r>
        <w:t xml:space="preserve"> </w:t>
      </w:r>
      <w:hyperlink r:id="rId33">
        <w:r>
          <w:rPr>
            <w:rStyle w:val="Hyperlink"/>
          </w:rPr>
          <w:t xml:space="preserve">[82]</w:t>
        </w:r>
      </w:hyperlink>
    </w:p>
    <w:p>
      <w:pPr>
        <w:pStyle w:val="BodyText"/>
      </w:pPr>
      <w:r>
        <w:t xml:space="preserve">Comorbidity-heavy PAH phenotypes are under-represented in clinical trials. ESC/ERS explicitly warns that these patients respond less well, discontinue drugs more often, and that evidence-based strategy guidance is limited—hence monotherapy-first and individualized escalation.</w:t>
      </w:r>
      <w:r>
        <w:t xml:space="preserve"> </w:t>
      </w:r>
      <w:hyperlink r:id="rId21">
        <w:r>
          <w:rPr>
            <w:rStyle w:val="Hyperlink"/>
          </w:rPr>
          <w:t xml:space="preserve">[11]</w:t>
        </w:r>
      </w:hyperlink>
      <w:r>
        <w:t xml:space="preserve"> </w:t>
      </w:r>
      <w:r>
        <w:t xml:space="preserve">Any algorithm must therefore include a “phenotype confidence” checkpoint and avoid over-automating escalation in these patients.</w:t>
      </w:r>
    </w:p>
    <w:p>
      <w:pPr>
        <w:pStyle w:val="BodyText"/>
      </w:pPr>
      <w:r>
        <w:t xml:space="preserve">Group 3 targeted therapy remains selectively supported and operationally complex. ESC/ERS provides conditional recommendations for inhaled treprostinil in ILD-PH and limits PDE5i consideration to severe ILD-PH under PH-center decision-making, while discouraging several other PAH agents in ILD-associated PH contexts.</w:t>
      </w:r>
      <w:r>
        <w:t xml:space="preserve"> </w:t>
      </w:r>
      <w:hyperlink r:id="rId21">
        <w:r>
          <w:rPr>
            <w:rStyle w:val="Hyperlink"/>
          </w:rPr>
          <w:t xml:space="preserve">[83]</w:t>
        </w:r>
      </w:hyperlink>
      <w:r>
        <w:t xml:space="preserve"> </w:t>
      </w:r>
      <w:r>
        <w:t xml:space="preserve">Algorithms must incorporate lung phenotype severity (“severe PH” thresholds such as PVR &gt;5 WU) and explicit contraindication rules.</w:t>
      </w:r>
      <w:r>
        <w:t xml:space="preserve"> </w:t>
      </w:r>
      <w:hyperlink r:id="rId21">
        <w:r>
          <w:rPr>
            <w:rStyle w:val="Hyperlink"/>
          </w:rPr>
          <w:t xml:space="preserve">[84]</w:t>
        </w:r>
      </w:hyperlink>
    </w:p>
    <w:p>
      <w:pPr>
        <w:pStyle w:val="BodyText"/>
      </w:pPr>
      <w:r>
        <w:t xml:space="preserve">CTEPH outcome targets after PEA/BPA are not fully standardized. ESC/ERS notes no consensus “therapeutic target” after PEA/BPA/medical therapy, though most experts accept WHO-FC I–II and normalization or near-normalization of resting hemodynamics at RHC 3–6 months post-procedure.</w:t>
      </w:r>
      <w:r>
        <w:t xml:space="preserve"> </w:t>
      </w:r>
      <w:hyperlink r:id="rId21">
        <w:r>
          <w:rPr>
            <w:rStyle w:val="Hyperlink"/>
          </w:rPr>
          <w:t xml:space="preserve">[85]</w:t>
        </w:r>
      </w:hyperlink>
      <w:r>
        <w:t xml:space="preserve"> </w:t>
      </w:r>
      <w:r>
        <w:t xml:space="preserve">Decision tools should therefore treat post-intervention management as</w:t>
      </w:r>
      <w:r>
        <w:t xml:space="preserve"> </w:t>
      </w:r>
      <w:r>
        <w:rPr>
          <w:b/>
          <w:bCs/>
        </w:rPr>
        <w:t xml:space="preserve">structured follow-up with expert oversight</w:t>
      </w:r>
      <w:r>
        <w:t xml:space="preserve"> </w:t>
      </w:r>
      <w:r>
        <w:t xml:space="preserve">rather than a rigid escalation rule set.</w:t>
      </w:r>
    </w:p>
    <w:p>
      <w:pPr>
        <w:pStyle w:val="BodyText"/>
      </w:pPr>
      <w:r>
        <w:t xml:space="preserve">Newer therapies and evolving standards introduce version-control requirements for decision support. WSPH describes a four-pathway era and highlights sotatercept as a novel pathway agent, while NICE appraisal processes reflect ongoing evaluation timelines.</w:t>
      </w:r>
      <w:r>
        <w:t xml:space="preserve"> </w:t>
      </w:r>
      <w:hyperlink r:id="rId24">
        <w:r>
          <w:rPr>
            <w:rStyle w:val="Hyperlink"/>
          </w:rPr>
          <w:t xml:space="preserve">[86]</w:t>
        </w:r>
      </w:hyperlink>
      <w:r>
        <w:t xml:space="preserve"> </w:t>
      </w:r>
      <w:r>
        <w:t xml:space="preserve">Clinical algorithms should be implemented with a</w:t>
      </w:r>
      <w:r>
        <w:t xml:space="preserve"> </w:t>
      </w:r>
      <w:r>
        <w:rPr>
          <w:b/>
          <w:bCs/>
        </w:rPr>
        <w:t xml:space="preserve">guideline-version label</w:t>
      </w:r>
      <w:r>
        <w:t xml:space="preserve"> </w:t>
      </w:r>
      <w:r>
        <w:t xml:space="preserve">and a modular medication layer so updates can be incorporated without rewriting the risk engine.</w:t>
      </w:r>
    </w:p>
    <w:bookmarkEnd w:id="42"/>
    <w:bookmarkStart w:id="48" w:name="X2cf7e1a03fd9c7a527acec9e1103e7922536111"/>
    <w:p>
      <w:pPr>
        <w:pStyle w:val="Heading2"/>
      </w:pPr>
      <w:r>
        <w:t xml:space="preserve">Prioritized Primary Guidelines and Key References</w:t>
      </w:r>
    </w:p>
    <w:bookmarkStart w:id="45" w:name="X180997cca8f09b5f6cde98ad995f6f3b5e2d62c"/>
    <w:p>
      <w:pPr>
        <w:pStyle w:val="Heading3"/>
      </w:pPr>
      <w:r>
        <w:t xml:space="preserve">Primary guideline and consensus documents</w:t>
      </w:r>
    </w:p>
    <w:p>
      <w:pPr>
        <w:pStyle w:val="Compact"/>
        <w:numPr>
          <w:ilvl w:val="0"/>
          <w:numId w:val="1001"/>
        </w:numPr>
      </w:pPr>
      <w:r>
        <w:t xml:space="preserve">2022 ESC/ERS guideline (core diagnostic definitions, risk stratification, PAH/CTEPH treatment algorithms, group-specific recommendations).</w:t>
      </w:r>
      <w:r>
        <w:t xml:space="preserve"> </w:t>
      </w:r>
      <w:hyperlink r:id="rId21">
        <w:r>
          <w:rPr>
            <w:rStyle w:val="Hyperlink"/>
          </w:rPr>
          <w:t xml:space="preserve">[87]</w:t>
        </w:r>
      </w:hyperlink>
    </w:p>
    <w:p>
      <w:pPr>
        <w:pStyle w:val="Compact"/>
        <w:numPr>
          <w:ilvl w:val="0"/>
          <w:numId w:val="1001"/>
        </w:numPr>
      </w:pPr>
      <w:r>
        <w:t xml:space="preserve">CHEST guideline update for PAH pharmacotherapy (functional-class oriented, GRADE recommendations; useful alternate framework).</w:t>
      </w:r>
      <w:r>
        <w:t xml:space="preserve"> </w:t>
      </w:r>
      <w:hyperlink r:id="rId25">
        <w:r>
          <w:rPr>
            <w:rStyle w:val="Hyperlink"/>
          </w:rPr>
          <w:t xml:space="preserve">[88]</w:t>
        </w:r>
      </w:hyperlink>
    </w:p>
    <w:p>
      <w:pPr>
        <w:pStyle w:val="Compact"/>
        <w:numPr>
          <w:ilvl w:val="0"/>
          <w:numId w:val="1001"/>
        </w:numPr>
      </w:pPr>
      <w:r>
        <w:t xml:space="preserve">WSPH 2024 PAH treatment algorithm (expert consensus update; four-pathway framing; cautions on borderline hemodynamics).</w:t>
      </w:r>
      <w:r>
        <w:t xml:space="preserve"> </w:t>
      </w:r>
      <w:hyperlink r:id="rId24">
        <w:r>
          <w:rPr>
            <w:rStyle w:val="Hyperlink"/>
          </w:rPr>
          <w:t xml:space="preserve">[72]</w:t>
        </w:r>
      </w:hyperlink>
    </w:p>
    <w:p>
      <w:pPr>
        <w:pStyle w:val="Compact"/>
        <w:numPr>
          <w:ilvl w:val="0"/>
          <w:numId w:val="1001"/>
        </w:numPr>
      </w:pPr>
      <w:r>
        <w:t xml:space="preserve">ISHLT lung transplant candidate selection consensus (timely referral/listing framework; supports transplant pathway logic).</w:t>
      </w:r>
      <w:r>
        <w:t xml:space="preserve"> </w:t>
      </w:r>
      <w:hyperlink r:id="rId43">
        <w:r>
          <w:rPr>
            <w:rStyle w:val="Hyperlink"/>
          </w:rPr>
          <w:t xml:space="preserve">[89]</w:t>
        </w:r>
      </w:hyperlink>
    </w:p>
    <w:p>
      <w:pPr>
        <w:pStyle w:val="Compact"/>
        <w:numPr>
          <w:ilvl w:val="0"/>
          <w:numId w:val="1001"/>
        </w:numPr>
      </w:pPr>
      <w:r>
        <w:t xml:space="preserve">WSPH 2024 transplant/bridging/support technologies consensus (advanced therapy and bridging context).</w:t>
      </w:r>
      <w:r>
        <w:t xml:space="preserve"> </w:t>
      </w:r>
      <w:hyperlink r:id="rId44">
        <w:r>
          <w:rPr>
            <w:rStyle w:val="Hyperlink"/>
          </w:rPr>
          <w:t xml:space="preserve">[90]</w:t>
        </w:r>
      </w:hyperlink>
    </w:p>
    <w:p>
      <w:pPr>
        <w:pStyle w:val="Compact"/>
        <w:numPr>
          <w:ilvl w:val="0"/>
          <w:numId w:val="1001"/>
        </w:numPr>
      </w:pPr>
      <w:r>
        <w:t xml:space="preserve">AHA 2023 scientific statement (perioperative PH management; special circumstance branch).</w:t>
      </w:r>
      <w:r>
        <w:t xml:space="preserve"> </w:t>
      </w:r>
      <w:hyperlink r:id="rId27">
        <w:r>
          <w:rPr>
            <w:rStyle w:val="Hyperlink"/>
          </w:rPr>
          <w:t xml:space="preserve">[30]</w:t>
        </w:r>
      </w:hyperlink>
    </w:p>
    <w:p>
      <w:pPr>
        <w:pStyle w:val="Compact"/>
        <w:numPr>
          <w:ilvl w:val="0"/>
          <w:numId w:val="1001"/>
        </w:numPr>
      </w:pPr>
      <w:r>
        <w:t xml:space="preserve">PHA PH care center accreditation criteria (operational referral/capability standards).</w:t>
      </w:r>
      <w:r>
        <w:t xml:space="preserve"> </w:t>
      </w:r>
      <w:hyperlink r:id="rId26">
        <w:r>
          <w:rPr>
            <w:rStyle w:val="Hyperlink"/>
          </w:rPr>
          <w:t xml:space="preserve">[28]</w:t>
        </w:r>
      </w:hyperlink>
    </w:p>
    <w:p>
      <w:pPr>
        <w:pStyle w:val="Compact"/>
        <w:numPr>
          <w:ilvl w:val="0"/>
          <w:numId w:val="1001"/>
        </w:numPr>
      </w:pPr>
      <w:r>
        <w:t xml:space="preserve">NICE (UK) PAH-related technology appraisal materials (historical and emerging; sotatercept appraisal in development).</w:t>
      </w:r>
      <w:r>
        <w:t xml:space="preserve"> </w:t>
      </w:r>
      <w:hyperlink r:id="rId28">
        <w:r>
          <w:rPr>
            <w:rStyle w:val="Hyperlink"/>
          </w:rPr>
          <w:t xml:space="preserve">[32]</w:t>
        </w:r>
      </w:hyperlink>
    </w:p>
    <w:bookmarkEnd w:id="45"/>
    <w:bookmarkStart w:id="46" w:name="X771a210bffedeccc4e8f381d303bc61062b5429"/>
    <w:p>
      <w:pPr>
        <w:pStyle w:val="Heading3"/>
      </w:pPr>
      <w:r>
        <w:t xml:space="preserve">Risk stratification and registry evidence supporting escalation logic</w:t>
      </w:r>
    </w:p>
    <w:p>
      <w:pPr>
        <w:pStyle w:val="Compact"/>
        <w:numPr>
          <w:ilvl w:val="0"/>
          <w:numId w:val="1002"/>
        </w:numPr>
      </w:pPr>
      <w:r>
        <w:t xml:space="preserve">COMPERA 2.0 four-strata model validation (intermediate risk discrimination and sensitivity to change).</w:t>
      </w:r>
      <w:r>
        <w:t xml:space="preserve"> </w:t>
      </w:r>
      <w:hyperlink r:id="rId33">
        <w:r>
          <w:rPr>
            <w:rStyle w:val="Hyperlink"/>
          </w:rPr>
          <w:t xml:space="preserve">[82]</w:t>
        </w:r>
      </w:hyperlink>
    </w:p>
    <w:p>
      <w:pPr>
        <w:pStyle w:val="Compact"/>
        <w:numPr>
          <w:ilvl w:val="0"/>
          <w:numId w:val="1002"/>
        </w:numPr>
      </w:pPr>
      <w:r>
        <w:t xml:space="preserve">REVEAL 2.0 risk category thresholds (low ≤6; intermediate 7–8; high ≥9).</w:t>
      </w:r>
      <w:r>
        <w:t xml:space="preserve"> </w:t>
      </w:r>
      <w:hyperlink r:id="rId32">
        <w:r>
          <w:rPr>
            <w:rStyle w:val="Hyperlink"/>
          </w:rPr>
          <w:t xml:space="preserve">[91]</w:t>
        </w:r>
      </w:hyperlink>
    </w:p>
    <w:bookmarkEnd w:id="46"/>
    <w:bookmarkStart w:id="47" w:name="links-to-primary-documents-direct"/>
    <w:p>
      <w:pPr>
        <w:pStyle w:val="Heading3"/>
      </w:pPr>
      <w:r>
        <w:t xml:space="preserve">Links to primary documents (direct)</w:t>
      </w:r>
    </w:p>
    <w:p>
      <w:pPr>
        <w:pStyle w:val="SourceCode"/>
      </w:pPr>
      <w:r>
        <w:rPr>
          <w:rStyle w:val="VerbatimChar"/>
        </w:rPr>
        <w:t xml:space="preserve">ESC/ERS 2022 Pulmonary Hypertension Guideline (European Heart Journal / ESC):</w:t>
      </w:r>
      <w:r>
        <w:br/>
      </w:r>
      <w:r>
        <w:rPr>
          <w:rStyle w:val="VerbatimChar"/>
        </w:rPr>
        <w:t xml:space="preserve">https://academic.oup.com/eurheartj/article/43/38/3618/6673929</w:t>
      </w:r>
      <w:r>
        <w:br/>
      </w:r>
      <w:r>
        <w:rPr>
          <w:rStyle w:val="VerbatimChar"/>
        </w:rPr>
        <w:t xml:space="preserve">PDF mirror (ESC/ERS 2022; same content):</w:t>
      </w:r>
      <w:r>
        <w:br/>
      </w:r>
      <w:r>
        <w:rPr>
          <w:rStyle w:val="VerbatimChar"/>
        </w:rPr>
        <w:t xml:space="preserve">https://pure.rug.nl/ws/files/258895003/ehac237.pdf</w:t>
      </w:r>
      <w:r>
        <w:br/>
      </w:r>
      <w:r>
        <w:br/>
      </w:r>
      <w:r>
        <w:rPr>
          <w:rStyle w:val="VerbatimChar"/>
        </w:rPr>
        <w:t xml:space="preserve">WSPH 2024 PAH treatment algorithm (PMC full text):</w:t>
      </w:r>
      <w:r>
        <w:br/>
      </w:r>
      <w:r>
        <w:rPr>
          <w:rStyle w:val="VerbatimChar"/>
        </w:rPr>
        <w:t xml:space="preserve">https://pmc.ncbi.nlm.nih.gov/articles/PMC11525349/</w:t>
      </w:r>
      <w:r>
        <w:br/>
      </w:r>
      <w:r>
        <w:br/>
      </w:r>
      <w:r>
        <w:rPr>
          <w:rStyle w:val="VerbatimChar"/>
        </w:rPr>
        <w:t xml:space="preserve">ISHLT 2021 Lung transplant candidate selection consensus (PMC full text):</w:t>
      </w:r>
      <w:r>
        <w:br/>
      </w:r>
      <w:r>
        <w:rPr>
          <w:rStyle w:val="VerbatimChar"/>
        </w:rPr>
        <w:t xml:space="preserve">https://pmc.ncbi.nlm.nih.gov/articles/PMC8979471/</w:t>
      </w:r>
      <w:r>
        <w:br/>
      </w:r>
      <w:r>
        <w:br/>
      </w:r>
      <w:r>
        <w:rPr>
          <w:rStyle w:val="VerbatimChar"/>
        </w:rPr>
        <w:t xml:space="preserve">AHA 2023 Scientific Statement (PH in noncardiac surgery):</w:t>
      </w:r>
      <w:r>
        <w:br/>
      </w:r>
      <w:r>
        <w:rPr>
          <w:rStyle w:val="VerbatimChar"/>
        </w:rPr>
        <w:t xml:space="preserve">https://www.ahajournals.org/doi/10.1161/CIR.0000000000001136</w:t>
      </w:r>
      <w:r>
        <w:br/>
      </w:r>
      <w:r>
        <w:br/>
      </w:r>
      <w:r>
        <w:rPr>
          <w:rStyle w:val="VerbatimChar"/>
        </w:rPr>
        <w:t xml:space="preserve">PHA Care Center accreditation criteria:</w:t>
      </w:r>
      <w:r>
        <w:br/>
      </w:r>
      <w:r>
        <w:rPr>
          <w:rStyle w:val="VerbatimChar"/>
        </w:rPr>
        <w:t xml:space="preserve">https://phassociation.org/ph-professionals/accredited-care-centers/accreditation-criteria/</w:t>
      </w:r>
      <w:r>
        <w:br/>
      </w:r>
      <w:r>
        <w:br/>
      </w:r>
      <w:r>
        <w:rPr>
          <w:rStyle w:val="VerbatimChar"/>
        </w:rPr>
        <w:t xml:space="preserve">NICE sotatercept technology appraisal (in development):</w:t>
      </w:r>
      <w:r>
        <w:br/>
      </w:r>
      <w:r>
        <w:rPr>
          <w:rStyle w:val="VerbatimChar"/>
        </w:rPr>
        <w:t xml:space="preserve">https://www.nice.org.uk/guidance/indevelopment/gid-ta11103</w:t>
      </w:r>
    </w:p>
    <w:bookmarkEnd w:id="47"/>
    <w:bookmarkEnd w:id="48"/>
    <w:bookmarkEnd w:id="49"/>
    <w:bookmarkEnd w:id="50"/>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[14]</w:t>
        </w:r>
      </w:hyperlink>
      <w:r>
        <w:t xml:space="preserve"> </w:t>
      </w:r>
      <w:hyperlink r:id="rId21">
        <w:r>
          <w:rPr>
            <w:rStyle w:val="Hyperlink"/>
          </w:rPr>
          <w:t xml:space="preserve">[15]</w:t>
        </w:r>
      </w:hyperlink>
      <w:r>
        <w:t xml:space="preserve"> </w:t>
      </w:r>
      <w:hyperlink r:id="rId21">
        <w:r>
          <w:rPr>
            <w:rStyle w:val="Hyperlink"/>
          </w:rPr>
          <w:t xml:space="preserve">[16]</w:t>
        </w:r>
      </w:hyperlink>
      <w:r>
        <w:t xml:space="preserve"> </w:t>
      </w:r>
      <w:hyperlink r:id="rId21">
        <w:r>
          <w:rPr>
            <w:rStyle w:val="Hyperlink"/>
          </w:rPr>
          <w:t xml:space="preserve">[17]</w:t>
        </w:r>
      </w:hyperlink>
      <w:r>
        <w:t xml:space="preserve"> </w:t>
      </w:r>
      <w:hyperlink r:id="rId21">
        <w:r>
          <w:rPr>
            <w:rStyle w:val="Hyperlink"/>
          </w:rPr>
          <w:t xml:space="preserve">[18]</w:t>
        </w:r>
      </w:hyperlink>
      <w:r>
        <w:t xml:space="preserve"> </w:t>
      </w:r>
      <w:hyperlink r:id="rId21">
        <w:r>
          <w:rPr>
            <w:rStyle w:val="Hyperlink"/>
          </w:rPr>
          <w:t xml:space="preserve">[20]</w:t>
        </w:r>
      </w:hyperlink>
      <w:r>
        <w:t xml:space="preserve"> </w:t>
      </w:r>
      <w:hyperlink r:id="rId21">
        <w:r>
          <w:rPr>
            <w:rStyle w:val="Hyperlink"/>
          </w:rPr>
          <w:t xml:space="preserve">[21]</w:t>
        </w:r>
      </w:hyperlink>
      <w:r>
        <w:t xml:space="preserve"> </w:t>
      </w:r>
      <w:hyperlink r:id="rId21">
        <w:r>
          <w:rPr>
            <w:rStyle w:val="Hyperlink"/>
          </w:rPr>
          <w:t xml:space="preserve">[22]</w:t>
        </w:r>
      </w:hyperlink>
      <w:r>
        <w:t xml:space="preserve"> </w:t>
      </w:r>
      <w:hyperlink r:id="rId21">
        <w:r>
          <w:rPr>
            <w:rStyle w:val="Hyperlink"/>
          </w:rPr>
          <w:t xml:space="preserve">[25]</w:t>
        </w:r>
      </w:hyperlink>
      <w:r>
        <w:t xml:space="preserve"> </w:t>
      </w:r>
      <w:hyperlink r:id="rId21">
        <w:r>
          <w:rPr>
            <w:rStyle w:val="Hyperlink"/>
          </w:rPr>
          <w:t xml:space="preserve">[26]</w:t>
        </w:r>
      </w:hyperlink>
      <w:r>
        <w:t xml:space="preserve"> </w:t>
      </w:r>
      <w:hyperlink r:id="rId21">
        <w:r>
          <w:rPr>
            <w:rStyle w:val="Hyperlink"/>
          </w:rPr>
          <w:t xml:space="preserve">[27]</w:t>
        </w:r>
      </w:hyperlink>
      <w:r>
        <w:t xml:space="preserve"> </w:t>
      </w:r>
      <w:hyperlink r:id="rId21">
        <w:r>
          <w:rPr>
            <w:rStyle w:val="Hyperlink"/>
          </w:rPr>
          <w:t xml:space="preserve">[29]</w:t>
        </w:r>
      </w:hyperlink>
      <w:r>
        <w:t xml:space="preserve"> </w:t>
      </w:r>
      <w:hyperlink r:id="rId21">
        <w:r>
          <w:rPr>
            <w:rStyle w:val="Hyperlink"/>
          </w:rPr>
          <w:t xml:space="preserve">[31]</w:t>
        </w:r>
      </w:hyperlink>
      <w:r>
        <w:t xml:space="preserve"> </w:t>
      </w:r>
      <w:hyperlink r:id="rId21">
        <w:r>
          <w:rPr>
            <w:rStyle w:val="Hyperlink"/>
          </w:rPr>
          <w:t xml:space="preserve">[33]</w:t>
        </w:r>
      </w:hyperlink>
      <w:r>
        <w:t xml:space="preserve"> </w:t>
      </w:r>
      <w:hyperlink r:id="rId21">
        <w:r>
          <w:rPr>
            <w:rStyle w:val="Hyperlink"/>
          </w:rPr>
          <w:t xml:space="preserve">[34]</w:t>
        </w:r>
      </w:hyperlink>
      <w:r>
        <w:t xml:space="preserve"> </w:t>
      </w:r>
      <w:hyperlink r:id="rId21">
        <w:r>
          <w:rPr>
            <w:rStyle w:val="Hyperlink"/>
          </w:rPr>
          <w:t xml:space="preserve">[35]</w:t>
        </w:r>
      </w:hyperlink>
      <w:r>
        <w:t xml:space="preserve"> </w:t>
      </w:r>
      <w:hyperlink r:id="rId21">
        <w:r>
          <w:rPr>
            <w:rStyle w:val="Hyperlink"/>
          </w:rPr>
          <w:t xml:space="preserve">[36]</w:t>
        </w:r>
      </w:hyperlink>
      <w:r>
        <w:t xml:space="preserve"> </w:t>
      </w:r>
      <w:hyperlink r:id="rId21">
        <w:r>
          <w:rPr>
            <w:rStyle w:val="Hyperlink"/>
          </w:rPr>
          <w:t xml:space="preserve">[37]</w:t>
        </w:r>
      </w:hyperlink>
      <w:r>
        <w:t xml:space="preserve"> </w:t>
      </w:r>
      <w:hyperlink r:id="rId21">
        <w:r>
          <w:rPr>
            <w:rStyle w:val="Hyperlink"/>
          </w:rPr>
          <w:t xml:space="preserve">[38]</w:t>
        </w:r>
      </w:hyperlink>
      <w:r>
        <w:t xml:space="preserve"> </w:t>
      </w:r>
      <w:hyperlink r:id="rId21">
        <w:r>
          <w:rPr>
            <w:rStyle w:val="Hyperlink"/>
          </w:rPr>
          <w:t xml:space="preserve">[39]</w:t>
        </w:r>
      </w:hyperlink>
      <w:r>
        <w:t xml:space="preserve"> </w:t>
      </w:r>
      <w:hyperlink r:id="rId21">
        <w:r>
          <w:rPr>
            <w:rStyle w:val="Hyperlink"/>
          </w:rPr>
          <w:t xml:space="preserve">[40]</w:t>
        </w:r>
      </w:hyperlink>
      <w:r>
        <w:t xml:space="preserve"> </w:t>
      </w:r>
      <w:hyperlink r:id="rId21">
        <w:r>
          <w:rPr>
            <w:rStyle w:val="Hyperlink"/>
          </w:rPr>
          <w:t xml:space="preserve">[41]</w:t>
        </w:r>
      </w:hyperlink>
      <w:r>
        <w:t xml:space="preserve"> </w:t>
      </w:r>
      <w:hyperlink r:id="rId21">
        <w:r>
          <w:rPr>
            <w:rStyle w:val="Hyperlink"/>
          </w:rPr>
          <w:t xml:space="preserve">[42]</w:t>
        </w:r>
      </w:hyperlink>
      <w:r>
        <w:t xml:space="preserve"> </w:t>
      </w:r>
      <w:hyperlink r:id="rId21">
        <w:r>
          <w:rPr>
            <w:rStyle w:val="Hyperlink"/>
          </w:rPr>
          <w:t xml:space="preserve">[43]</w:t>
        </w:r>
      </w:hyperlink>
      <w:r>
        <w:t xml:space="preserve"> </w:t>
      </w:r>
      <w:hyperlink r:id="rId21">
        <w:r>
          <w:rPr>
            <w:rStyle w:val="Hyperlink"/>
          </w:rPr>
          <w:t xml:space="preserve">[44]</w:t>
        </w:r>
      </w:hyperlink>
      <w:r>
        <w:t xml:space="preserve"> </w:t>
      </w:r>
      <w:hyperlink r:id="rId21">
        <w:r>
          <w:rPr>
            <w:rStyle w:val="Hyperlink"/>
          </w:rPr>
          <w:t xml:space="preserve">[45]</w:t>
        </w:r>
      </w:hyperlink>
      <w:r>
        <w:t xml:space="preserve"> </w:t>
      </w:r>
      <w:hyperlink r:id="rId21">
        <w:r>
          <w:rPr>
            <w:rStyle w:val="Hyperlink"/>
          </w:rPr>
          <w:t xml:space="preserve">[46]</w:t>
        </w:r>
      </w:hyperlink>
      <w:r>
        <w:t xml:space="preserve"> </w:t>
      </w:r>
      <w:hyperlink r:id="rId21">
        <w:r>
          <w:rPr>
            <w:rStyle w:val="Hyperlink"/>
          </w:rPr>
          <w:t xml:space="preserve">[47]</w:t>
        </w:r>
      </w:hyperlink>
      <w:r>
        <w:t xml:space="preserve"> </w:t>
      </w:r>
      <w:hyperlink r:id="rId21">
        <w:r>
          <w:rPr>
            <w:rStyle w:val="Hyperlink"/>
          </w:rPr>
          <w:t xml:space="preserve">[48]</w:t>
        </w:r>
      </w:hyperlink>
      <w:r>
        <w:t xml:space="preserve"> </w:t>
      </w:r>
      <w:hyperlink r:id="rId21">
        <w:r>
          <w:rPr>
            <w:rStyle w:val="Hyperlink"/>
          </w:rPr>
          <w:t xml:space="preserve">[49]</w:t>
        </w:r>
      </w:hyperlink>
      <w:r>
        <w:t xml:space="preserve"> </w:t>
      </w:r>
      <w:hyperlink r:id="rId21">
        <w:r>
          <w:rPr>
            <w:rStyle w:val="Hyperlink"/>
          </w:rPr>
          <w:t xml:space="preserve">[50]</w:t>
        </w:r>
      </w:hyperlink>
      <w:r>
        <w:t xml:space="preserve"> </w:t>
      </w:r>
      <w:hyperlink r:id="rId21">
        <w:r>
          <w:rPr>
            <w:rStyle w:val="Hyperlink"/>
          </w:rPr>
          <w:t xml:space="preserve">[53]</w:t>
        </w:r>
      </w:hyperlink>
      <w:r>
        <w:t xml:space="preserve"> </w:t>
      </w:r>
      <w:hyperlink r:id="rId21">
        <w:r>
          <w:rPr>
            <w:rStyle w:val="Hyperlink"/>
          </w:rPr>
          <w:t xml:space="preserve">[54]</w:t>
        </w:r>
      </w:hyperlink>
      <w:r>
        <w:t xml:space="preserve"> </w:t>
      </w:r>
      <w:hyperlink r:id="rId21">
        <w:r>
          <w:rPr>
            <w:rStyle w:val="Hyperlink"/>
          </w:rPr>
          <w:t xml:space="preserve">[55]</w:t>
        </w:r>
      </w:hyperlink>
      <w:r>
        <w:t xml:space="preserve"> </w:t>
      </w:r>
      <w:hyperlink r:id="rId21">
        <w:r>
          <w:rPr>
            <w:rStyle w:val="Hyperlink"/>
          </w:rPr>
          <w:t xml:space="preserve">[56]</w:t>
        </w:r>
      </w:hyperlink>
      <w:r>
        <w:t xml:space="preserve"> </w:t>
      </w:r>
      <w:hyperlink r:id="rId21">
        <w:r>
          <w:rPr>
            <w:rStyle w:val="Hyperlink"/>
          </w:rPr>
          <w:t xml:space="preserve">[57]</w:t>
        </w:r>
      </w:hyperlink>
      <w:r>
        <w:t xml:space="preserve"> </w:t>
      </w:r>
      <w:hyperlink r:id="rId21">
        <w:r>
          <w:rPr>
            <w:rStyle w:val="Hyperlink"/>
          </w:rPr>
          <w:t xml:space="preserve">[58]</w:t>
        </w:r>
      </w:hyperlink>
      <w:r>
        <w:t xml:space="preserve"> </w:t>
      </w:r>
      <w:hyperlink r:id="rId21">
        <w:r>
          <w:rPr>
            <w:rStyle w:val="Hyperlink"/>
          </w:rPr>
          <w:t xml:space="preserve">[59]</w:t>
        </w:r>
      </w:hyperlink>
      <w:r>
        <w:t xml:space="preserve"> </w:t>
      </w:r>
      <w:hyperlink r:id="rId21">
        <w:r>
          <w:rPr>
            <w:rStyle w:val="Hyperlink"/>
          </w:rPr>
          <w:t xml:space="preserve">[60]</w:t>
        </w:r>
      </w:hyperlink>
      <w:r>
        <w:t xml:space="preserve"> </w:t>
      </w:r>
      <w:hyperlink r:id="rId21">
        <w:r>
          <w:rPr>
            <w:rStyle w:val="Hyperlink"/>
          </w:rPr>
          <w:t xml:space="preserve">[61]</w:t>
        </w:r>
      </w:hyperlink>
      <w:r>
        <w:t xml:space="preserve"> </w:t>
      </w:r>
      <w:hyperlink r:id="rId21">
        <w:r>
          <w:rPr>
            <w:rStyle w:val="Hyperlink"/>
          </w:rPr>
          <w:t xml:space="preserve">[62]</w:t>
        </w:r>
      </w:hyperlink>
      <w:r>
        <w:t xml:space="preserve"> </w:t>
      </w:r>
      <w:hyperlink r:id="rId21">
        <w:r>
          <w:rPr>
            <w:rStyle w:val="Hyperlink"/>
          </w:rPr>
          <w:t xml:space="preserve">[63]</w:t>
        </w:r>
      </w:hyperlink>
      <w:r>
        <w:t xml:space="preserve"> </w:t>
      </w:r>
      <w:hyperlink r:id="rId21">
        <w:r>
          <w:rPr>
            <w:rStyle w:val="Hyperlink"/>
          </w:rPr>
          <w:t xml:space="preserve">[64]</w:t>
        </w:r>
      </w:hyperlink>
      <w:r>
        <w:t xml:space="preserve"> </w:t>
      </w:r>
      <w:hyperlink r:id="rId21">
        <w:r>
          <w:rPr>
            <w:rStyle w:val="Hyperlink"/>
          </w:rPr>
          <w:t xml:space="preserve">[65]</w:t>
        </w:r>
      </w:hyperlink>
      <w:r>
        <w:t xml:space="preserve"> </w:t>
      </w:r>
      <w:hyperlink r:id="rId21">
        <w:r>
          <w:rPr>
            <w:rStyle w:val="Hyperlink"/>
          </w:rPr>
          <w:t xml:space="preserve">[66]</w:t>
        </w:r>
      </w:hyperlink>
      <w:r>
        <w:t xml:space="preserve"> </w:t>
      </w:r>
      <w:hyperlink r:id="rId21">
        <w:r>
          <w:rPr>
            <w:rStyle w:val="Hyperlink"/>
          </w:rPr>
          <w:t xml:space="preserve">[67]</w:t>
        </w:r>
      </w:hyperlink>
      <w:r>
        <w:t xml:space="preserve"> </w:t>
      </w:r>
      <w:hyperlink r:id="rId21">
        <w:r>
          <w:rPr>
            <w:rStyle w:val="Hyperlink"/>
          </w:rPr>
          <w:t xml:space="preserve">[68]</w:t>
        </w:r>
      </w:hyperlink>
      <w:r>
        <w:t xml:space="preserve"> </w:t>
      </w:r>
      <w:hyperlink r:id="rId21">
        <w:r>
          <w:rPr>
            <w:rStyle w:val="Hyperlink"/>
          </w:rPr>
          <w:t xml:space="preserve">[69]</w:t>
        </w:r>
      </w:hyperlink>
      <w:r>
        <w:t xml:space="preserve"> </w:t>
      </w:r>
      <w:hyperlink r:id="rId21">
        <w:r>
          <w:rPr>
            <w:rStyle w:val="Hyperlink"/>
          </w:rPr>
          <w:t xml:space="preserve">[70]</w:t>
        </w:r>
      </w:hyperlink>
      <w:r>
        <w:t xml:space="preserve"> </w:t>
      </w:r>
      <w:hyperlink r:id="rId21">
        <w:r>
          <w:rPr>
            <w:rStyle w:val="Hyperlink"/>
          </w:rPr>
          <w:t xml:space="preserve">[76]</w:t>
        </w:r>
      </w:hyperlink>
      <w:r>
        <w:t xml:space="preserve"> </w:t>
      </w:r>
      <w:hyperlink r:id="rId21">
        <w:r>
          <w:rPr>
            <w:rStyle w:val="Hyperlink"/>
          </w:rPr>
          <w:t xml:space="preserve">[78]</w:t>
        </w:r>
      </w:hyperlink>
      <w:r>
        <w:t xml:space="preserve"> </w:t>
      </w:r>
      <w:hyperlink r:id="rId21">
        <w:r>
          <w:rPr>
            <w:rStyle w:val="Hyperlink"/>
          </w:rPr>
          <w:t xml:space="preserve">[80]</w:t>
        </w:r>
      </w:hyperlink>
      <w:r>
        <w:t xml:space="preserve"> </w:t>
      </w:r>
      <w:hyperlink r:id="rId21">
        <w:r>
          <w:rPr>
            <w:rStyle w:val="Hyperlink"/>
          </w:rPr>
          <w:t xml:space="preserve">[81]</w:t>
        </w:r>
      </w:hyperlink>
      <w:r>
        <w:t xml:space="preserve"> </w:t>
      </w:r>
      <w:hyperlink r:id="rId21">
        <w:r>
          <w:rPr>
            <w:rStyle w:val="Hyperlink"/>
          </w:rPr>
          <w:t xml:space="preserve">[83]</w:t>
        </w:r>
      </w:hyperlink>
      <w:r>
        <w:t xml:space="preserve"> </w:t>
      </w:r>
      <w:hyperlink r:id="rId21">
        <w:r>
          <w:rPr>
            <w:rStyle w:val="Hyperlink"/>
          </w:rPr>
          <w:t xml:space="preserve">[84]</w:t>
        </w:r>
      </w:hyperlink>
      <w:r>
        <w:t xml:space="preserve"> </w:t>
      </w:r>
      <w:hyperlink r:id="rId21">
        <w:r>
          <w:rPr>
            <w:rStyle w:val="Hyperlink"/>
          </w:rPr>
          <w:t xml:space="preserve">[85]</w:t>
        </w:r>
      </w:hyperlink>
      <w:r>
        <w:t xml:space="preserve"> </w:t>
      </w:r>
      <w:hyperlink r:id="rId21">
        <w:r>
          <w:rPr>
            <w:rStyle w:val="Hyperlink"/>
          </w:rPr>
          <w:t xml:space="preserve">[87]</w:t>
        </w:r>
      </w:hyperlink>
      <w:r>
        <w:t xml:space="preserve"> </w:t>
      </w:r>
      <w:r>
        <w:t xml:space="preserve">https://pure.rug.nl/ws/files/258895003/ehac237.pdf</w:t>
      </w:r>
    </w:p>
    <w:p>
      <w:pPr>
        <w:pStyle w:val="BodyText"/>
      </w:pPr>
      <w:hyperlink r:id="rId21">
        <w:r>
          <w:rPr>
            <w:rStyle w:val="Hyperlink"/>
          </w:rPr>
          <w:t xml:space="preserve">https://pure.rug.nl/ws/files/258895003/ehac237.pdf</w:t>
        </w:r>
      </w:hyperlink>
    </w:p>
    <w:p>
      <w:pPr>
        <w:pStyle w:val="BodyText"/>
      </w:pPr>
      <w:hyperlink r:id="rId24">
        <w:r>
          <w:rPr>
            <w:rStyle w:val="Hyperlink"/>
          </w:rPr>
          <w:t xml:space="preserve">[19]</w:t>
        </w:r>
      </w:hyperlink>
      <w:r>
        <w:t xml:space="preserve"> </w:t>
      </w:r>
      <w:hyperlink r:id="rId24">
        <w:r>
          <w:rPr>
            <w:rStyle w:val="Hyperlink"/>
          </w:rPr>
          <w:t xml:space="preserve">[24]</w:t>
        </w:r>
      </w:hyperlink>
      <w:r>
        <w:t xml:space="preserve"> </w:t>
      </w:r>
      <w:hyperlink r:id="rId24">
        <w:r>
          <w:rPr>
            <w:rStyle w:val="Hyperlink"/>
          </w:rPr>
          <w:t xml:space="preserve">[72]</w:t>
        </w:r>
      </w:hyperlink>
      <w:r>
        <w:t xml:space="preserve"> </w:t>
      </w:r>
      <w:hyperlink r:id="rId24">
        <w:r>
          <w:rPr>
            <w:rStyle w:val="Hyperlink"/>
          </w:rPr>
          <w:t xml:space="preserve">[86]</w:t>
        </w:r>
      </w:hyperlink>
      <w:r>
        <w:t xml:space="preserve"> </w:t>
      </w:r>
      <w:r>
        <w:t xml:space="preserve">https://pmc.ncbi.nlm.nih.gov/articles/PMC11525349/</w:t>
      </w:r>
    </w:p>
    <w:p>
      <w:pPr>
        <w:pStyle w:val="BodyText"/>
      </w:pPr>
      <w:hyperlink r:id="rId24">
        <w:r>
          <w:rPr>
            <w:rStyle w:val="Hyperlink"/>
          </w:rPr>
          <w:t xml:space="preserve">https://pmc.ncbi.nlm.nih.gov/articles/PMC11525349/</w:t>
        </w:r>
      </w:hyperlink>
    </w:p>
    <w:p>
      <w:pPr>
        <w:pStyle w:val="BodyText"/>
      </w:pPr>
      <w:hyperlink r:id="rId25">
        <w:r>
          <w:rPr>
            <w:rStyle w:val="Hyperlink"/>
          </w:rPr>
          <w:t xml:space="preserve">[23]</w:t>
        </w:r>
      </w:hyperlink>
      <w:r>
        <w:t xml:space="preserve"> </w:t>
      </w:r>
      <w:hyperlink r:id="rId25">
        <w:r>
          <w:rPr>
            <w:rStyle w:val="Hyperlink"/>
          </w:rPr>
          <w:t xml:space="preserve">[71]</w:t>
        </w:r>
      </w:hyperlink>
      <w:r>
        <w:t xml:space="preserve"> </w:t>
      </w:r>
      <w:hyperlink r:id="rId25">
        <w:r>
          <w:rPr>
            <w:rStyle w:val="Hyperlink"/>
          </w:rPr>
          <w:t xml:space="preserve">[73]</w:t>
        </w:r>
      </w:hyperlink>
      <w:r>
        <w:t xml:space="preserve"> </w:t>
      </w:r>
      <w:hyperlink r:id="rId25">
        <w:r>
          <w:rPr>
            <w:rStyle w:val="Hyperlink"/>
          </w:rPr>
          <w:t xml:space="preserve">[75]</w:t>
        </w:r>
      </w:hyperlink>
      <w:r>
        <w:t xml:space="preserve"> </w:t>
      </w:r>
      <w:hyperlink r:id="rId25">
        <w:r>
          <w:rPr>
            <w:rStyle w:val="Hyperlink"/>
          </w:rPr>
          <w:t xml:space="preserve">[77]</w:t>
        </w:r>
      </w:hyperlink>
      <w:r>
        <w:t xml:space="preserve"> </w:t>
      </w:r>
      <w:hyperlink r:id="rId25">
        <w:r>
          <w:rPr>
            <w:rStyle w:val="Hyperlink"/>
          </w:rPr>
          <w:t xml:space="preserve">[79]</w:t>
        </w:r>
      </w:hyperlink>
      <w:r>
        <w:t xml:space="preserve"> </w:t>
      </w:r>
      <w:hyperlink r:id="rId25">
        <w:r>
          <w:rPr>
            <w:rStyle w:val="Hyperlink"/>
          </w:rPr>
          <w:t xml:space="preserve">[88]</w:t>
        </w:r>
      </w:hyperlink>
      <w:r>
        <w:t xml:space="preserve"> </w:t>
      </w:r>
      <w:r>
        <w:t xml:space="preserve">https://www.researchgate.net/publication/330447107_Therapy_for_Pulmonary_Arterial_Hypertension_in_Adults_2018_Update_of_the_CHEST_Guideline_and_Expert_Panel_Report</w:t>
      </w:r>
    </w:p>
    <w:p>
      <w:pPr>
        <w:pStyle w:val="BodyText"/>
      </w:pPr>
      <w:hyperlink r:id="rId25">
        <w:r>
          <w:rPr>
            <w:rStyle w:val="Hyperlink"/>
          </w:rPr>
          <w:t xml:space="preserve">https://www.researchgate.net/publication/330447107_Therapy_for_Pulmonary_Arterial_Hypertension_in_Adults_2018_Update_of_the_CHEST_Guideline_and_Expert_Panel_Report</w:t>
        </w:r>
      </w:hyperlink>
    </w:p>
    <w:p>
      <w:pPr>
        <w:pStyle w:val="BodyText"/>
      </w:pPr>
      <w:hyperlink r:id="rId26">
        <w:r>
          <w:rPr>
            <w:rStyle w:val="Hyperlink"/>
          </w:rPr>
          <w:t xml:space="preserve">[28]</w:t>
        </w:r>
      </w:hyperlink>
      <w:r>
        <w:t xml:space="preserve"> </w:t>
      </w:r>
      <w:r>
        <w:t xml:space="preserve">https://phassociation.org/ph-professionals/accredited-care-centers/accreditation-criteria/</w:t>
      </w:r>
    </w:p>
    <w:p>
      <w:pPr>
        <w:pStyle w:val="BodyText"/>
      </w:pPr>
      <w:hyperlink r:id="rId26">
        <w:r>
          <w:rPr>
            <w:rStyle w:val="Hyperlink"/>
          </w:rPr>
          <w:t xml:space="preserve">https://phassociation.org/ph-professionals/accredited-care-centers/accreditation-criteria/</w:t>
        </w:r>
      </w:hyperlink>
    </w:p>
    <w:p>
      <w:pPr>
        <w:pStyle w:val="BodyText"/>
      </w:pPr>
      <w:hyperlink r:id="rId27">
        <w:r>
          <w:rPr>
            <w:rStyle w:val="Hyperlink"/>
          </w:rPr>
          <w:t xml:space="preserve">[30]</w:t>
        </w:r>
      </w:hyperlink>
      <w:r>
        <w:t xml:space="preserve"> </w:t>
      </w:r>
      <w:r>
        <w:t xml:space="preserve">https://www.ahajournals.org/doi/10.1161/CIR.0000000000001136</w:t>
      </w:r>
    </w:p>
    <w:p>
      <w:pPr>
        <w:pStyle w:val="BodyText"/>
      </w:pPr>
      <w:hyperlink r:id="rId27">
        <w:r>
          <w:rPr>
            <w:rStyle w:val="Hyperlink"/>
          </w:rPr>
          <w:t xml:space="preserve">https://www.ahajournals.org/doi/10.1161/CIR.0000000000001136</w:t>
        </w:r>
      </w:hyperlink>
    </w:p>
    <w:p>
      <w:pPr>
        <w:pStyle w:val="BodyText"/>
      </w:pPr>
      <w:hyperlink r:id="rId28">
        <w:r>
          <w:rPr>
            <w:rStyle w:val="Hyperlink"/>
          </w:rPr>
          <w:t xml:space="preserve">[32]</w:t>
        </w:r>
      </w:hyperlink>
      <w:r>
        <w:t xml:space="preserve"> </w:t>
      </w:r>
      <w:hyperlink r:id="rId28">
        <w:r>
          <w:rPr>
            <w:rStyle w:val="Hyperlink"/>
          </w:rPr>
          <w:t xml:space="preserve">[74]</w:t>
        </w:r>
      </w:hyperlink>
      <w:r>
        <w:t xml:space="preserve"> </w:t>
      </w:r>
      <w:r>
        <w:t xml:space="preserve">https://www.nice.org.uk/guidance/gid-tag382/documents/overview2</w:t>
      </w:r>
    </w:p>
    <w:p>
      <w:pPr>
        <w:pStyle w:val="BodyText"/>
      </w:pPr>
      <w:hyperlink r:id="rId28">
        <w:r>
          <w:rPr>
            <w:rStyle w:val="Hyperlink"/>
          </w:rPr>
          <w:t xml:space="preserve">https://www.nice.org.uk/guidance/gid-tag382/documents/overview2</w:t>
        </w:r>
      </w:hyperlink>
    </w:p>
    <w:p>
      <w:pPr>
        <w:pStyle w:val="BodyText"/>
      </w:pPr>
      <w:hyperlink r:id="rId32">
        <w:r>
          <w:rPr>
            <w:rStyle w:val="Hyperlink"/>
          </w:rPr>
          <w:t xml:space="preserve">[51]</w:t>
        </w:r>
      </w:hyperlink>
      <w:r>
        <w:t xml:space="preserve"> </w:t>
      </w:r>
      <w:hyperlink r:id="rId32">
        <w:r>
          <w:rPr>
            <w:rStyle w:val="Hyperlink"/>
          </w:rPr>
          <w:t xml:space="preserve">[91]</w:t>
        </w:r>
      </w:hyperlink>
      <w:r>
        <w:t xml:space="preserve"> </w:t>
      </w:r>
      <w:r>
        <w:t xml:space="preserve">https://pmc.ncbi.nlm.nih.gov/articles/PMC11230514/</w:t>
      </w:r>
    </w:p>
    <w:p>
      <w:pPr>
        <w:pStyle w:val="BodyText"/>
      </w:pPr>
      <w:hyperlink r:id="rId32">
        <w:r>
          <w:rPr>
            <w:rStyle w:val="Hyperlink"/>
          </w:rPr>
          <w:t xml:space="preserve">https://pmc.ncbi.nlm.nih.gov/articles/PMC11230514/</w:t>
        </w:r>
      </w:hyperlink>
    </w:p>
    <w:p>
      <w:pPr>
        <w:pStyle w:val="BodyText"/>
      </w:pPr>
      <w:hyperlink r:id="rId33">
        <w:r>
          <w:rPr>
            <w:rStyle w:val="Hyperlink"/>
          </w:rPr>
          <w:t xml:space="preserve">[52]</w:t>
        </w:r>
      </w:hyperlink>
      <w:r>
        <w:t xml:space="preserve"> </w:t>
      </w:r>
      <w:hyperlink r:id="rId33">
        <w:r>
          <w:rPr>
            <w:rStyle w:val="Hyperlink"/>
          </w:rPr>
          <w:t xml:space="preserve">[82]</w:t>
        </w:r>
      </w:hyperlink>
      <w:r>
        <w:t xml:space="preserve"> </w:t>
      </w:r>
      <w:r>
        <w:t xml:space="preserve">https://pmc.ncbi.nlm.nih.gov/articles/PMC9260123/</w:t>
      </w:r>
    </w:p>
    <w:p>
      <w:pPr>
        <w:pStyle w:val="BodyText"/>
      </w:pPr>
      <w:hyperlink r:id="rId33">
        <w:r>
          <w:rPr>
            <w:rStyle w:val="Hyperlink"/>
          </w:rPr>
          <w:t xml:space="preserve">https://pmc.ncbi.nlm.nih.gov/articles/PMC9260123/</w:t>
        </w:r>
      </w:hyperlink>
    </w:p>
    <w:p>
      <w:pPr>
        <w:pStyle w:val="BodyText"/>
      </w:pPr>
      <w:hyperlink r:id="rId43">
        <w:r>
          <w:rPr>
            <w:rStyle w:val="Hyperlink"/>
          </w:rPr>
          <w:t xml:space="preserve">[89]</w:t>
        </w:r>
      </w:hyperlink>
      <w:r>
        <w:t xml:space="preserve"> </w:t>
      </w:r>
      <w:r>
        <w:t xml:space="preserve">https://pmc.ncbi.nlm.nih.gov/articles/PMC8979471/</w:t>
      </w:r>
    </w:p>
    <w:p>
      <w:pPr>
        <w:pStyle w:val="BodyText"/>
      </w:pPr>
      <w:hyperlink r:id="rId43">
        <w:r>
          <w:rPr>
            <w:rStyle w:val="Hyperlink"/>
          </w:rPr>
          <w:t xml:space="preserve">https://pmc.ncbi.nlm.nih.gov/articles/PMC8979471/</w:t>
        </w:r>
      </w:hyperlink>
    </w:p>
    <w:p>
      <w:pPr>
        <w:pStyle w:val="BodyText"/>
      </w:pPr>
      <w:hyperlink r:id="rId44">
        <w:r>
          <w:rPr>
            <w:rStyle w:val="Hyperlink"/>
          </w:rPr>
          <w:t xml:space="preserve">[90]</w:t>
        </w:r>
      </w:hyperlink>
      <w:r>
        <w:t xml:space="preserve"> </w:t>
      </w:r>
      <w:r>
        <w:t xml:space="preserve">https://pmc.ncbi.nlm.nih.gov/articles/PMC11525343/</w:t>
      </w:r>
    </w:p>
    <w:p>
      <w:pPr>
        <w:pStyle w:val="BodyText"/>
      </w:pPr>
      <w:hyperlink r:id="rId44">
        <w:r>
          <w:rPr>
            <w:rStyle w:val="Hyperlink"/>
          </w:rPr>
          <w:t xml:space="preserve">https://pmc.ncbi.nlm.nih.gov/articles/PMC11525343/</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phassociation.org/ph-professionals/accredited-care-centers/accreditation-criteria/" TargetMode="External" /><Relationship Type="http://schemas.openxmlformats.org/officeDocument/2006/relationships/hyperlink" Id="rId32" Target="https://pmc.ncbi.nlm.nih.gov/articles/PMC11230514/" TargetMode="External" /><Relationship Type="http://schemas.openxmlformats.org/officeDocument/2006/relationships/hyperlink" Id="rId44" Target="https://pmc.ncbi.nlm.nih.gov/articles/PMC11525343/" TargetMode="External" /><Relationship Type="http://schemas.openxmlformats.org/officeDocument/2006/relationships/hyperlink" Id="rId24" Target="https://pmc.ncbi.nlm.nih.gov/articles/PMC11525349/" TargetMode="External" /><Relationship Type="http://schemas.openxmlformats.org/officeDocument/2006/relationships/hyperlink" Id="rId43" Target="https://pmc.ncbi.nlm.nih.gov/articles/PMC8979471/" TargetMode="External" /><Relationship Type="http://schemas.openxmlformats.org/officeDocument/2006/relationships/hyperlink" Id="rId33" Target="https://pmc.ncbi.nlm.nih.gov/articles/PMC9260123/" TargetMode="External" /><Relationship Type="http://schemas.openxmlformats.org/officeDocument/2006/relationships/hyperlink" Id="rId21" Target="https://pure.rug.nl/ws/files/258895003/ehac237.pdf" TargetMode="External" /><Relationship Type="http://schemas.openxmlformats.org/officeDocument/2006/relationships/hyperlink" Id="rId27" Target="https://www.ahajournals.org/doi/10.1161/CIR.0000000000001136" TargetMode="External" /><Relationship Type="http://schemas.openxmlformats.org/officeDocument/2006/relationships/hyperlink" Id="rId28" Target="https://www.nice.org.uk/guidance/gid-tag382/documents/overview2" TargetMode="External" /><Relationship Type="http://schemas.openxmlformats.org/officeDocument/2006/relationships/hyperlink" Id="rId25" Target="https://www.researchgate.net/publication/330447107_Therapy_for_Pulmonary_Arterial_Hypertension_in_Adults_2018_Update_of_the_CHEST_Guideline_and_Expert_Panel_Report" TargetMode="External" /></Relationships>
</file>

<file path=word/_rels/footnotes.xml.rels><?xml version="1.0" encoding="UTF-8"?><Relationships xmlns="http://schemas.openxmlformats.org/package/2006/relationships"><Relationship Type="http://schemas.openxmlformats.org/officeDocument/2006/relationships/hyperlink" Id="rId26" Target="https://phassociation.org/ph-professionals/accredited-care-centers/accreditation-criteria/" TargetMode="External" /><Relationship Type="http://schemas.openxmlformats.org/officeDocument/2006/relationships/hyperlink" Id="rId32" Target="https://pmc.ncbi.nlm.nih.gov/articles/PMC11230514/" TargetMode="External" /><Relationship Type="http://schemas.openxmlformats.org/officeDocument/2006/relationships/hyperlink" Id="rId44" Target="https://pmc.ncbi.nlm.nih.gov/articles/PMC11525343/" TargetMode="External" /><Relationship Type="http://schemas.openxmlformats.org/officeDocument/2006/relationships/hyperlink" Id="rId24" Target="https://pmc.ncbi.nlm.nih.gov/articles/PMC11525349/" TargetMode="External" /><Relationship Type="http://schemas.openxmlformats.org/officeDocument/2006/relationships/hyperlink" Id="rId43" Target="https://pmc.ncbi.nlm.nih.gov/articles/PMC8979471/" TargetMode="External" /><Relationship Type="http://schemas.openxmlformats.org/officeDocument/2006/relationships/hyperlink" Id="rId33" Target="https://pmc.ncbi.nlm.nih.gov/articles/PMC9260123/" TargetMode="External" /><Relationship Type="http://schemas.openxmlformats.org/officeDocument/2006/relationships/hyperlink" Id="rId21" Target="https://pure.rug.nl/ws/files/258895003/ehac237.pdf" TargetMode="External" /><Relationship Type="http://schemas.openxmlformats.org/officeDocument/2006/relationships/hyperlink" Id="rId27" Target="https://www.ahajournals.org/doi/10.1161/CIR.0000000000001136" TargetMode="External" /><Relationship Type="http://schemas.openxmlformats.org/officeDocument/2006/relationships/hyperlink" Id="rId28" Target="https://www.nice.org.uk/guidance/gid-tag382/documents/overview2" TargetMode="External" /><Relationship Type="http://schemas.openxmlformats.org/officeDocument/2006/relationships/hyperlink" Id="rId25" Target="https://www.researchgate.net/publication/330447107_Therapy_for_Pulmonary_Arterial_Hypertension_in_Adults_2018_Update_of_the_CHEST_Guideline_and_Expert_Panel_Re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2026-02-26T01:08:15Z</dcterms:created>
  <dcterms:modified xsi:type="dcterms:W3CDTF">2026-02-26T01:08:15Z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