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X34a52ed2aaad44b91b4dc6dd88b43e1990cdb18"/>
    <w:p>
      <w:pPr>
        <w:pStyle w:val="Heading1"/>
      </w:pPr>
      <w:r>
        <w:t xml:space="preserve">Medication Initiation and Monitoring Considerations for Adult Pulmonary Hypertension Therapies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Modern adult pulmonary hypertension (PH) pharmacotherapy is best operationalized as two parallel “decision planes”: (1)</w:t>
      </w:r>
      <w:r>
        <w:t xml:space="preserve"> </w:t>
      </w:r>
      <w:r>
        <w:rPr>
          <w:b/>
          <w:bCs/>
        </w:rPr>
        <w:t xml:space="preserve">etiology/WHO group</w:t>
      </w:r>
      <w:r>
        <w:t xml:space="preserve">, which determines whether</w:t>
      </w:r>
      <w:r>
        <w:t xml:space="preserve"> </w:t>
      </w:r>
      <w:r>
        <w:rPr>
          <w:b/>
          <w:bCs/>
        </w:rPr>
        <w:t xml:space="preserve">PAH-targeted therapy is appropriate</w:t>
      </w:r>
      <w:r>
        <w:t xml:space="preserve">, and (2)</w:t>
      </w:r>
      <w:r>
        <w:t xml:space="preserve"> </w:t>
      </w:r>
      <w:r>
        <w:rPr>
          <w:b/>
          <w:bCs/>
        </w:rPr>
        <w:t xml:space="preserve">risk-based escalation</w:t>
      </w:r>
      <w:r>
        <w:t xml:space="preserve">, which determines</w:t>
      </w:r>
      <w:r>
        <w:t xml:space="preserve"> </w:t>
      </w:r>
      <w:r>
        <w:rPr>
          <w:b/>
          <w:bCs/>
        </w:rPr>
        <w:t xml:space="preserve">how aggressive initial therapy and follow-up escalation should be</w:t>
      </w:r>
      <w:r>
        <w:t xml:space="preserve">. The most explicit, evidence-backed medication pathways exist for</w:t>
      </w:r>
      <w:r>
        <w:t xml:space="preserve"> </w:t>
      </w:r>
      <w:r>
        <w:rPr>
          <w:b/>
          <w:bCs/>
        </w:rPr>
        <w:t xml:space="preserve">WHO Group 1 PAH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WHO Group 4 CTEPH</w:t>
      </w:r>
      <w:r>
        <w:t xml:space="preserve">, while targeted therapy is generally</w:t>
      </w:r>
      <w:r>
        <w:t xml:space="preserve"> </w:t>
      </w:r>
      <w:r>
        <w:rPr>
          <w:b/>
          <w:bCs/>
        </w:rPr>
        <w:t xml:space="preserve">not recommended for WHO Group 2 PH-LHD</w:t>
      </w:r>
      <w:r>
        <w:t xml:space="preserve">, and is</w:t>
      </w:r>
      <w:r>
        <w:t xml:space="preserve"> </w:t>
      </w:r>
      <w:r>
        <w:rPr>
          <w:b/>
          <w:bCs/>
        </w:rPr>
        <w:t xml:space="preserve">selective/conditional</w:t>
      </w:r>
      <w:r>
        <w:t xml:space="preserve"> </w:t>
      </w:r>
      <w:r>
        <w:t xml:space="preserve">in WHO Group 3 (e.g., inhaled treprostinil for PH-ILD).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For medication starts,</w:t>
      </w:r>
      <w:r>
        <w:t xml:space="preserve"> </w:t>
      </w:r>
      <w:r>
        <w:rPr>
          <w:b/>
          <w:bCs/>
        </w:rPr>
        <w:t xml:space="preserve">drug-label dosing and safety requirements dominate</w:t>
      </w:r>
      <w:r>
        <w:t xml:space="preserve">, because guideline documents usually do not provide titration instructions beyond general strategy. In practice, clinicians should treat the</w:t>
      </w:r>
      <w:r>
        <w:t xml:space="preserve"> </w:t>
      </w:r>
      <w:r>
        <w:rPr>
          <w:b/>
          <w:bCs/>
        </w:rPr>
        <w:t xml:space="preserve">FDA/EMA prescribing information</w:t>
      </w:r>
      <w:r>
        <w:t xml:space="preserve"> </w:t>
      </w:r>
      <w:r>
        <w:t xml:space="preserve">as the source-of-truth for initial dose, titration pace, interactions, contraindications, and mandated monitoring (e.g., pregnancy testing programs for ERAs and riociguat).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High-yield “start safely” guardrails across classes include: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Absolute “do-not-combine” interaction</w:t>
      </w:r>
      <w:r>
        <w:t xml:space="preserve">:</w:t>
      </w:r>
      <w:r>
        <w:t xml:space="preserve"> </w:t>
      </w:r>
      <w:r>
        <w:rPr>
          <w:b/>
          <w:bCs/>
        </w:rPr>
        <w:t xml:space="preserve">riociguat with PDE5 inhibitors</w:t>
      </w:r>
      <w:r>
        <w:t xml:space="preserve"> </w:t>
      </w:r>
      <w:r>
        <w:t xml:space="preserve">(and nitrates/NO donors) due to hypotension risk; required washouts are specified in labeling.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Teratogenicity systems</w:t>
      </w:r>
      <w:r>
        <w:t xml:space="preserve">: ERAs (bosentan, ambrisentan, macitentan) and riociguat require pregnancy exclusion and ongoing prevention/testing per labeling/REMS-like programs.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Continuous infusion prostacyclins</w:t>
      </w:r>
      <w:r>
        <w:t xml:space="preserve"> </w:t>
      </w:r>
      <w:r>
        <w:t xml:space="preserve">(IV epoprostenol; IV/SC treprostinil): abrupt interruption can precipitate rapid clinical deterioration; safe initiation requires infusion logistics, backup plans, and close monitoring.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CTEPH anticoagulation</w:t>
      </w:r>
      <w:r>
        <w:t xml:space="preserve">: lifelong therapeutic anticoagulation is guideline-recommended; choice between VKA and DOAC remains an area of variable practice despite growing registry evidence.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Sotatercept (Winrevair) is FDA-approved for PAH and has regulatory documentation in Europe; its optimal placement (earlier vs add-on after suboptimal response to foundational therapy) remains an evolving area of practice and guideline uptake.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28"/>
    <w:bookmarkStart w:id="32" w:name="Xb8feb781d1d10b37af6935aab64c3845ee72b76"/>
    <w:p>
      <w:pPr>
        <w:pStyle w:val="Heading2"/>
      </w:pPr>
      <w:r>
        <w:t xml:space="preserve">Scope, sources, and a pragmatic “start checks” framework</w:t>
      </w:r>
    </w:p>
    <w:p>
      <w:pPr>
        <w:pStyle w:val="FirstParagraph"/>
      </w:pPr>
      <w:r>
        <w:t xml:space="preserve">This report covers</w:t>
      </w:r>
      <w:r>
        <w:t xml:space="preserve"> </w:t>
      </w:r>
      <w:r>
        <w:rPr>
          <w:b/>
          <w:bCs/>
        </w:rPr>
        <w:t xml:space="preserve">adult (≥18 years) PH medications used in contemporary practice</w:t>
      </w:r>
      <w:r>
        <w:t xml:space="preserve"> </w:t>
      </w:r>
      <w:r>
        <w:t xml:space="preserve">for PAH (WHO Group 1) and CTEPH (WHO Group 4), plus targeted therapy considerations relevant to</w:t>
      </w:r>
      <w:r>
        <w:t xml:space="preserve"> </w:t>
      </w:r>
      <w:r>
        <w:rPr>
          <w:b/>
          <w:bCs/>
        </w:rPr>
        <w:t xml:space="preserve">WHO Group 3 PH-ILD</w:t>
      </w:r>
      <w:r>
        <w:t xml:space="preserve"> </w:t>
      </w:r>
      <w:r>
        <w:t xml:space="preserve">(inhaled treprostinil), and anticoagulation for CTEPH. Pediatric dosing is</w:t>
      </w:r>
      <w:r>
        <w:t xml:space="preserve"> </w:t>
      </w:r>
      <w:r>
        <w:rPr>
          <w:b/>
          <w:bCs/>
        </w:rPr>
        <w:t xml:space="preserve">not covered</w:t>
      </w:r>
      <w:r>
        <w:t xml:space="preserve"> </w:t>
      </w:r>
      <w:r>
        <w:t xml:space="preserve">except where labels include pediatric language (explicitly not operationalized here).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Primary sources prioritized:</w:t>
      </w:r>
      <w:r>
        <w:t xml:space="preserve"> </w:t>
      </w:r>
      <w:r>
        <w:rPr>
          <w:b/>
          <w:bCs/>
        </w:rPr>
        <w:t xml:space="preserve">entity["organization","European Society of Cardiology","cardiology society"]/entity["organization","European Respiratory Society","respiratory society"] 2022 PH guideline; entity["organization","American College of Chest Physicians","professional society"] CHEST 2019 PAH therapy guideline; entity["organization","World Symposium on Pulmonary Hypertension","international symposium"] 2024 PAH treatment algorithm; and drug labels from</w:t>
      </w:r>
      <w:r>
        <w:t xml:space="preserve"> </w:t>
      </w:r>
      <w:r>
        <w:t xml:space="preserve">entity["organization","U.S. Food and Drug Administration","drug regulator"]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entity["organization","European Medicines Agency","drug regulator"]</w:t>
      </w:r>
      <w:r>
        <w:rPr>
          <w:b/>
          <w:bCs/>
        </w:rPr>
        <w:t xml:space="preserve">, commonly accessed via</w:t>
      </w:r>
      <w:r>
        <w:t xml:space="preserve"> </w:t>
      </w:r>
      <w:r>
        <w:t xml:space="preserve">entity["organization","DailyMed","drug label repository"]**.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A clinician-usable “start checks” framework (apply before any PAH-targeted therapy, then tailor per drug class):</w:t>
      </w:r>
      <w:r>
        <w:br/>
      </w:r>
      <w:r>
        <w:t xml:space="preserve">- Confirm</w:t>
      </w:r>
      <w:r>
        <w:t xml:space="preserve"> </w:t>
      </w:r>
      <w:r>
        <w:rPr>
          <w:b/>
          <w:bCs/>
        </w:rPr>
        <w:t xml:space="preserve">WHO group</w:t>
      </w:r>
      <w:r>
        <w:t xml:space="preserve"> </w:t>
      </w:r>
      <w:r>
        <w:t xml:space="preserve">and appropriateness of PAH-targeted therapy (especially avoid misapplication in PH-LHD; treat CTEPH with anticoagulation and dedicated pathway; use inhaled treprostinil selectively in PH-ILD).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Baseline: vitals (including BP), volume status, pregnancy status where relevant, key labs (CBC, CMP with LFTs/renal), and medication reconciliation focused on contraindicated combinations (notably nitrates/NO donors, PDE5i/riociguat, strong CYP modulators).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br/>
      </w:r>
      <w:r>
        <w:t xml:space="preserve">- Document “route feasibility”: oral tolerance, inhalation technique capacity, willingness and home-support for continuous infusion therapy, central line feasibility, and access to specialty pharmacy/PH center infrastructure.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br/>
      </w:r>
      <w:r>
        <w:t xml:space="preserve">- Plan follow-up: early visit or contact after initiation/titration changes (often 1–2 weeks for titration-heavy therapies like riociguat, selexipag, inhaled treprostinil, and prostacyclin infusions).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bookmarkEnd w:id="32"/>
    <w:bookmarkStart w:id="33" w:name="Xacefe2d0bf7fd5e06a176173a08a1caecc6d03f"/>
    <w:p>
      <w:pPr>
        <w:pStyle w:val="Heading2"/>
      </w:pPr>
      <w:r>
        <w:t xml:space="preserve">Comparative initiation table for adult PH medications</w:t>
      </w:r>
    </w:p>
    <w:p>
      <w:pPr>
        <w:pStyle w:val="FirstParagraph"/>
      </w:pPr>
      <w:r>
        <w:rPr>
          <w:b/>
          <w:bCs/>
        </w:rPr>
        <w:t xml:space="preserve">How to read this table:</w:t>
      </w:r>
      <w:r>
        <w:t xml:space="preserve"> </w:t>
      </w:r>
      <w:r>
        <w:t xml:space="preserve">“Start” and “Goal” reflect</w:t>
      </w:r>
      <w:r>
        <w:t xml:space="preserve"> </w:t>
      </w:r>
      <w:r>
        <w:rPr>
          <w:b/>
          <w:bCs/>
        </w:rPr>
        <w:t xml:space="preserve">label-based dosing</w:t>
      </w:r>
      <w:r>
        <w:t xml:space="preserve"> </w:t>
      </w:r>
      <w:r>
        <w:t xml:space="preserve">unless explicitly noted; several agents are</w:t>
      </w:r>
      <w:r>
        <w:t xml:space="preserve"> </w:t>
      </w:r>
      <w:r>
        <w:rPr>
          <w:b/>
          <w:bCs/>
        </w:rPr>
        <w:t xml:space="preserve">titrate-to-tolerability</w:t>
      </w:r>
      <w:r>
        <w:t xml:space="preserve"> </w:t>
      </w:r>
      <w:r>
        <w:t xml:space="preserve">rather than to a fixed target. “Key monitoring” lists minimum high-yield items; labels often include additional nuance.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(class)</w:t>
            </w:r>
          </w:p>
        </w:tc>
        <w:tc>
          <w:tcPr/>
          <w:p>
            <w:pPr>
              <w:pStyle w:val="Compact"/>
            </w:pPr>
            <w:r>
              <w:t xml:space="preserve">Route(s)</w:t>
            </w:r>
          </w:p>
        </w:tc>
        <w:tc>
          <w:tcPr/>
          <w:p>
            <w:pPr>
              <w:pStyle w:val="Compact"/>
            </w:pPr>
            <w:r>
              <w:t xml:space="preserve">Typical adult start dose</w:t>
            </w:r>
          </w:p>
        </w:tc>
        <w:tc>
          <w:tcPr/>
          <w:p>
            <w:pPr>
              <w:pStyle w:val="Compact"/>
            </w:pPr>
            <w:r>
              <w:t xml:space="preserve">Titration &amp; “goal dose”</w:t>
            </w:r>
          </w:p>
        </w:tc>
        <w:tc>
          <w:tcPr/>
          <w:p>
            <w:pPr>
              <w:pStyle w:val="Compact"/>
            </w:pPr>
            <w:r>
              <w:t xml:space="preserve">Key monitoring at start</w:t>
            </w:r>
          </w:p>
        </w:tc>
        <w:tc>
          <w:tcPr/>
          <w:p>
            <w:pPr>
              <w:pStyle w:val="Compact"/>
            </w:pPr>
            <w:r>
              <w:t xml:space="preserve">Major contraindications / “do-not-combine”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Bosentan (ERA)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62.5 mg BID x 4 weeks → 125 mg BID (adult ≥40 kg)</w:t>
            </w:r>
          </w:p>
        </w:tc>
        <w:tc>
          <w:tcPr/>
          <w:p>
            <w:pPr>
              <w:pStyle w:val="Compact"/>
            </w:pPr>
            <w:r>
              <w:t xml:space="preserve">Fixed maintenance per label; dose reductions/holds for LFT elevations per label</w:t>
            </w:r>
          </w:p>
        </w:tc>
        <w:tc>
          <w:tcPr/>
          <w:p>
            <w:pPr>
              <w:pStyle w:val="Compact"/>
            </w:pPr>
            <w:r>
              <w:t xml:space="preserve">LFTs baseline +</w:t>
            </w:r>
            <w:r>
              <w:t xml:space="preserve"> </w:t>
            </w:r>
            <w:r>
              <w:rPr>
                <w:b/>
                <w:bCs/>
              </w:rPr>
              <w:t xml:space="preserve">monthly</w:t>
            </w:r>
            <w:r>
              <w:t xml:space="preserve">; hemoglobin periodically; pregnancy prevention/testing per program</w:t>
            </w:r>
          </w:p>
        </w:tc>
        <w:tc>
          <w:tcPr/>
          <w:p>
            <w:pPr>
              <w:pStyle w:val="Compact"/>
            </w:pPr>
            <w:r>
              <w:t xml:space="preserve">Pregnancy; cyclosporine A; glyburide; strong interaction burden via CYP induction/inhibition effects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Ambrisentan (ERA)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5 mg daily (alone or with tadalafil 20 mg daily); increase after 4 weeks as tolerated</w:t>
            </w:r>
          </w:p>
        </w:tc>
        <w:tc>
          <w:tcPr/>
          <w:p>
            <w:pPr>
              <w:pStyle w:val="Compact"/>
            </w:pPr>
            <w:r>
              <w:t xml:space="preserve">Up-titrate to 10 mg daily as tolerated; no higher dose studied</w:t>
            </w:r>
          </w:p>
        </w:tc>
        <w:tc>
          <w:tcPr/>
          <w:p>
            <w:pPr>
              <w:pStyle w:val="Compact"/>
            </w:pPr>
            <w:r>
              <w:t xml:space="preserve">Pregnancy exclusion + ongoing testing per program; hemoglobin; edema/heart failure signal</w:t>
            </w:r>
          </w:p>
        </w:tc>
        <w:tc>
          <w:tcPr/>
          <w:p>
            <w:pPr>
              <w:pStyle w:val="Compact"/>
            </w:pPr>
            <w:r>
              <w:t xml:space="preserve">Pregnancy (boxed warning); significant hepatic impairment not recommended; interaction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Macitentan (ERA)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10 mg daily</w:t>
            </w:r>
          </w:p>
        </w:tc>
        <w:tc>
          <w:tcPr/>
          <w:p>
            <w:pPr>
              <w:pStyle w:val="Compact"/>
            </w:pPr>
            <w:r>
              <w:t xml:space="preserve">No titration required; fixed dose</w:t>
            </w:r>
          </w:p>
        </w:tc>
        <w:tc>
          <w:tcPr/>
          <w:p>
            <w:pPr>
              <w:pStyle w:val="Compact"/>
            </w:pPr>
            <w:r>
              <w:t xml:space="preserve">Pregnancy exclusion and contraception; hemoglobin and LFTs baseline then clinically indicated</w:t>
            </w:r>
          </w:p>
        </w:tc>
        <w:tc>
          <w:tcPr/>
          <w:p>
            <w:pPr>
              <w:pStyle w:val="Compact"/>
            </w:pPr>
            <w:r>
              <w:t xml:space="preserve">Pregnancy (boxed warning)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Sildenafil (PDE5 inhibitor)</w:t>
            </w:r>
          </w:p>
        </w:tc>
        <w:tc>
          <w:tcPr/>
          <w:p>
            <w:pPr>
              <w:pStyle w:val="Compact"/>
            </w:pPr>
            <w:r>
              <w:t xml:space="preserve">PO; IV (when PO not feasible)</w:t>
            </w:r>
          </w:p>
        </w:tc>
        <w:tc>
          <w:tcPr/>
          <w:p>
            <w:pPr>
              <w:pStyle w:val="Compact"/>
            </w:pPr>
            <w:r>
              <w:t xml:space="preserve">20 mg TID (PO); may titrate up to 80 mg TID per labeling language</w:t>
            </w:r>
          </w:p>
        </w:tc>
        <w:tc>
          <w:tcPr/>
          <w:p>
            <w:pPr>
              <w:pStyle w:val="Compact"/>
            </w:pPr>
            <w:r>
              <w:t xml:space="preserve">Goal commonly 20 mg TID; some patients titrated higher by symptoms/tolerability (label permits up to 80 mg TID)</w:t>
            </w:r>
          </w:p>
        </w:tc>
        <w:tc>
          <w:tcPr/>
          <w:p>
            <w:pPr>
              <w:pStyle w:val="Compact"/>
            </w:pPr>
            <w:r>
              <w:t xml:space="preserve">BP; symptoms of hypotension; visual/hearing symptoms; drug interactions</w:t>
            </w:r>
          </w:p>
        </w:tc>
        <w:tc>
          <w:tcPr/>
          <w:p>
            <w:pPr>
              <w:pStyle w:val="Compact"/>
            </w:pPr>
            <w:r>
              <w:t xml:space="preserve">Nitrates;</w:t>
            </w:r>
            <w:r>
              <w:t xml:space="preserve"> </w:t>
            </w:r>
            <w:r>
              <w:rPr>
                <w:b/>
                <w:bCs/>
              </w:rPr>
              <w:t xml:space="preserve">riociguat</w:t>
            </w:r>
            <w:r>
              <w:t xml:space="preserve">; caution with strong CYP3A inhibitors; additive hypotension with alpha-blockers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Tadalafil (PDE5 inhibitor)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40 mg daily (two 20 mg tablets)</w:t>
            </w:r>
          </w:p>
        </w:tc>
        <w:tc>
          <w:tcPr/>
          <w:p>
            <w:pPr>
              <w:pStyle w:val="Compact"/>
            </w:pPr>
            <w:r>
              <w:t xml:space="preserve">Fixed max 40 mg daily; renal/hepatic/CYP3A interaction dose modifications</w:t>
            </w:r>
          </w:p>
        </w:tc>
        <w:tc>
          <w:tcPr/>
          <w:p>
            <w:pPr>
              <w:pStyle w:val="Compact"/>
            </w:pPr>
            <w:r>
              <w:t xml:space="preserve">BP; renal function; interaction check (CYP3A inhibitors/inducers; ritonavir-specific guidance)</w:t>
            </w:r>
          </w:p>
        </w:tc>
        <w:tc>
          <w:tcPr/>
          <w:p>
            <w:pPr>
              <w:pStyle w:val="Compact"/>
            </w:pPr>
            <w:r>
              <w:t xml:space="preserve">Nitrates/NO donors; caution/avoid with potent CYP3A inhibitors and severe renal disease (label-specific)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Riociguat (sGC stimulator)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1 mg TID (or 0.5 mg TID if hypotension risk)</w:t>
            </w:r>
          </w:p>
        </w:tc>
        <w:tc>
          <w:tcPr/>
          <w:p>
            <w:pPr>
              <w:pStyle w:val="Compact"/>
            </w:pPr>
            <w:r>
              <w:t xml:space="preserve">Up-titrate by 0.5 mg TID no sooner than q2 weeks to max 2.5 mg TID if SBP &gt;95 and no hypotension</w:t>
            </w:r>
          </w:p>
        </w:tc>
        <w:tc>
          <w:tcPr/>
          <w:p>
            <w:pPr>
              <w:pStyle w:val="Compact"/>
            </w:pPr>
            <w:r>
              <w:t xml:space="preserve">BP q~2 weeks during titration; pregnancy testing and contraception program; smoking status (exposure reduced in smokers per label)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PDE5 inhibitors</w:t>
            </w:r>
            <w:r>
              <w:t xml:space="preserve"> </w:t>
            </w:r>
            <w:r>
              <w:t xml:space="preserve">(strict washout); nitrates/NO donors; pregnancy; SBP &lt;95 at initiation; PH-IIP contraindication in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Epoprostenol (prostacyclin; IV—Flolan)</w:t>
            </w:r>
          </w:p>
        </w:tc>
        <w:tc>
          <w:tcPr/>
          <w:p>
            <w:pPr>
              <w:pStyle w:val="Compact"/>
            </w:pPr>
            <w:r>
              <w:t xml:space="preserve">Continuous IV</w:t>
            </w:r>
          </w:p>
        </w:tc>
        <w:tc>
          <w:tcPr/>
          <w:p>
            <w:pPr>
              <w:pStyle w:val="Compact"/>
            </w:pPr>
            <w:r>
              <w:t xml:space="preserve">2 ng/kg/min</w:t>
            </w:r>
          </w:p>
        </w:tc>
        <w:tc>
          <w:tcPr/>
          <w:p>
            <w:pPr>
              <w:pStyle w:val="Compact"/>
            </w:pPr>
            <w:r>
              <w:t xml:space="preserve">Uptitrate 1–2 ng/kg/min at ≥15-min intervals (initiation); chronic dose individualized; avoid abrupt interruption</w:t>
            </w:r>
          </w:p>
        </w:tc>
        <w:tc>
          <w:tcPr/>
          <w:p>
            <w:pPr>
              <w:pStyle w:val="Compact"/>
            </w:pPr>
            <w:r>
              <w:t xml:space="preserve">ICU/monitored setting initially; BP, HR, symptoms; line/pump integrity; infection prevention</w:t>
            </w:r>
          </w:p>
        </w:tc>
        <w:tc>
          <w:tcPr/>
          <w:p>
            <w:pPr>
              <w:pStyle w:val="Compact"/>
            </w:pPr>
            <w:r>
              <w:t xml:space="preserve">None “absolute” like nitrates, but major operational contraindication is inability to maintain continuous infusion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Epoprostenol (prostacyclin; IV—Veletri)</w:t>
            </w:r>
          </w:p>
        </w:tc>
        <w:tc>
          <w:tcPr/>
          <w:p>
            <w:pPr>
              <w:pStyle w:val="Compact"/>
            </w:pPr>
            <w:r>
              <w:t xml:space="preserve">Continuous IV</w:t>
            </w:r>
          </w:p>
        </w:tc>
        <w:tc>
          <w:tcPr/>
          <w:p>
            <w:pPr>
              <w:pStyle w:val="Compact"/>
            </w:pPr>
            <w:r>
              <w:t xml:space="preserve">2 ng/kg/min</w:t>
            </w:r>
          </w:p>
        </w:tc>
        <w:tc>
          <w:tcPr/>
          <w:p>
            <w:pPr>
              <w:pStyle w:val="Compact"/>
            </w:pPr>
            <w:r>
              <w:t xml:space="preserve">Initiation often +2 ng/kg/min increments q≥15 min; chronic dose individualized;</w:t>
            </w:r>
            <w:r>
              <w:t xml:space="preserve"> </w:t>
            </w:r>
            <w:r>
              <w:rPr>
                <w:b/>
                <w:bCs/>
              </w:rPr>
              <w:t xml:space="preserve">avoid abrupt withdrawal</w:t>
            </w:r>
          </w:p>
        </w:tc>
        <w:tc>
          <w:tcPr/>
          <w:p>
            <w:pPr>
              <w:pStyle w:val="Compact"/>
            </w:pPr>
            <w:r>
              <w:t xml:space="preserve">Same as above; emphasize backup infusion plan</w:t>
            </w:r>
          </w:p>
        </w:tc>
        <w:tc>
          <w:tcPr/>
          <w:p>
            <w:pPr>
              <w:pStyle w:val="Compact"/>
            </w:pPr>
            <w:r>
              <w:t xml:space="preserve">Same operational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Treprostinil (prostacyclin analog; Remodulin)</w:t>
            </w:r>
          </w:p>
        </w:tc>
        <w:tc>
          <w:tcPr/>
          <w:p>
            <w:pPr>
              <w:pStyle w:val="Compact"/>
            </w:pPr>
            <w:r>
              <w:t xml:space="preserve">Continuous SC (preferred) or IV</w:t>
            </w:r>
          </w:p>
        </w:tc>
        <w:tc>
          <w:tcPr/>
          <w:p>
            <w:pPr>
              <w:pStyle w:val="Compact"/>
            </w:pPr>
            <w:r>
              <w:t xml:space="preserve">1.25 ng/kg/min (0.625 if not tolerated); hepatic impairment: start lower per label</w:t>
            </w:r>
          </w:p>
        </w:tc>
        <w:tc>
          <w:tcPr/>
          <w:p>
            <w:pPr>
              <w:pStyle w:val="Compact"/>
            </w:pPr>
            <w:r>
              <w:t xml:space="preserve">Typical outpatient titration: +1.25 ng/kg/min per week x4 weeks, then +2.5 ng/kg/min per week (label language); no fixed “target”</w:t>
            </w:r>
          </w:p>
        </w:tc>
        <w:tc>
          <w:tcPr/>
          <w:p>
            <w:pPr>
              <w:pStyle w:val="Compact"/>
            </w:pPr>
            <w:r>
              <w:t xml:space="preserve">BP; infusion site pain (SC); catheter/pump integrity (IV); bleeding risk; hepatic impairment dose caution</w:t>
            </w:r>
          </w:p>
        </w:tc>
        <w:tc>
          <w:tcPr/>
          <w:p>
            <w:pPr>
              <w:pStyle w:val="Compact"/>
            </w:pPr>
            <w:r>
              <w:t xml:space="preserve">Operational contraindications related to infusion continuity; interaction considerations with CYP2C8 modulators in some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Treprostinil (inhaled; Tyvaso nebulized)</w:t>
            </w:r>
          </w:p>
        </w:tc>
        <w:tc>
          <w:tcPr/>
          <w:p>
            <w:pPr>
              <w:pStyle w:val="Compact"/>
            </w:pPr>
            <w:r>
              <w:t xml:space="preserve">Inhaled</w:t>
            </w:r>
          </w:p>
        </w:tc>
        <w:tc>
          <w:tcPr/>
          <w:p>
            <w:pPr>
              <w:pStyle w:val="Compact"/>
            </w:pPr>
            <w:r>
              <w:t xml:space="preserve">Start 3 breaths (18 mcg) QID; if not tolerated, temporarily 1–2 breaths</w:t>
            </w:r>
          </w:p>
        </w:tc>
        <w:tc>
          <w:tcPr/>
          <w:p>
            <w:pPr>
              <w:pStyle w:val="Compact"/>
            </w:pPr>
            <w:r>
              <w:t xml:space="preserve">Increase by +3 breaths/session at ~1–2 week intervals; target 9–12 breaths QID (used in PAH and PH-ILD trials)</w:t>
            </w:r>
          </w:p>
        </w:tc>
        <w:tc>
          <w:tcPr/>
          <w:p>
            <w:pPr>
              <w:pStyle w:val="Compact"/>
            </w:pPr>
            <w:r>
              <w:t xml:space="preserve">BP (hypotension); bleeding risk (platelet inhibition); bronchospasm risk (esp reactive airway disease); device technique/cleaning</w:t>
            </w:r>
          </w:p>
        </w:tc>
        <w:tc>
          <w:tcPr/>
          <w:p>
            <w:pPr>
              <w:pStyle w:val="Compact"/>
            </w:pPr>
            <w:r>
              <w:t xml:space="preserve">No absolute “drug interaction” contraindication like riociguat+PDE5i; but caution with anticoagulants and hypotension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Treprostinil (inhaled powder; Tyvaso DPI)</w:t>
            </w:r>
          </w:p>
        </w:tc>
        <w:tc>
          <w:tcPr/>
          <w:p>
            <w:pPr>
              <w:pStyle w:val="Compact"/>
            </w:pPr>
            <w:r>
              <w:t xml:space="preserve">Inhaled</w:t>
            </w:r>
          </w:p>
        </w:tc>
        <w:tc>
          <w:tcPr/>
          <w:p>
            <w:pPr>
              <w:pStyle w:val="Compact"/>
            </w:pPr>
            <w:r>
              <w:t xml:space="preserve">One 16 mcg cartridge QID</w:t>
            </w:r>
          </w:p>
        </w:tc>
        <w:tc>
          <w:tcPr/>
          <w:p>
            <w:pPr>
              <w:pStyle w:val="Compact"/>
            </w:pPr>
            <w:r>
              <w:t xml:space="preserve">Increase by +16 mcg/session at ~1–2 week intervals; usual target 48–64 mcg/session; dosing uses cartridges</w:t>
            </w:r>
          </w:p>
        </w:tc>
        <w:tc>
          <w:tcPr/>
          <w:p>
            <w:pPr>
              <w:pStyle w:val="Compact"/>
            </w:pPr>
            <w:r>
              <w:t xml:space="preserve">Same as inhaled solution; ensure correct device use; avoid device sharing/other meds in device</w:t>
            </w:r>
          </w:p>
        </w:tc>
        <w:tc>
          <w:tcPr/>
          <w:p>
            <w:pPr>
              <w:pStyle w:val="Compact"/>
            </w:pPr>
            <w:r>
              <w:t xml:space="preserve">Label notes no formal contraindications; clinically still respect hypotension/bleeding/broncospasm cautions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Treprostinil (oral extended-release; Orenitram)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0.125 mg TID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0.25 mg BID</w:t>
            </w:r>
            <w:r>
              <w:t xml:space="preserve"> </w:t>
            </w:r>
            <w:r>
              <w:rPr>
                <w:b/>
                <w:bCs/>
              </w:rPr>
              <w:t xml:space="preserve">with food</w:t>
            </w:r>
          </w:p>
        </w:tc>
        <w:tc>
          <w:tcPr/>
          <w:p>
            <w:pPr>
              <w:pStyle w:val="Compact"/>
            </w:pPr>
            <w:r>
              <w:t xml:space="preserve">Increase no more often than q3–4 days (0.125 mg TID or 0.25–0.5 mg BID); goal = highest tolerated; max daily dose 120 mg/day per label</w:t>
            </w:r>
          </w:p>
        </w:tc>
        <w:tc>
          <w:tcPr/>
          <w:p>
            <w:pPr>
              <w:pStyle w:val="Compact"/>
            </w:pPr>
            <w:r>
              <w:t xml:space="preserve">GI tolerance; BP; bleeding risk; hepatic impairment restrictions; check interactions (CYP2C8 inhibitors)</w:t>
            </w:r>
          </w:p>
        </w:tc>
        <w:tc>
          <w:tcPr/>
          <w:p>
            <w:pPr>
              <w:pStyle w:val="Compact"/>
            </w:pPr>
            <w:r>
              <w:t xml:space="preserve">Severe hepatic impairment (Child-Pugh C) contraindicated; avoid/mod adjust with strong CYP2C8 inhibitors (e.g., gemfibrozil)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Iloprost (inhaled; Ventavis)</w:t>
            </w:r>
          </w:p>
        </w:tc>
        <w:tc>
          <w:tcPr/>
          <w:p>
            <w:pPr>
              <w:pStyle w:val="Compact"/>
            </w:pPr>
            <w:r>
              <w:t xml:space="preserve">Inhaled</w:t>
            </w:r>
          </w:p>
        </w:tc>
        <w:tc>
          <w:tcPr/>
          <w:p>
            <w:pPr>
              <w:pStyle w:val="Compact"/>
            </w:pPr>
            <w:r>
              <w:t xml:space="preserve">First dose 2.5 mcg; if tolerated, increase to 5 mcg per dose</w:t>
            </w:r>
          </w:p>
        </w:tc>
        <w:tc>
          <w:tcPr/>
          <w:p>
            <w:pPr>
              <w:pStyle w:val="Compact"/>
            </w:pPr>
            <w:r>
              <w:t xml:space="preserve">6–9 inhalations/day while awake (≥2h apart); max studied 45 mcg/day (5 mcg x9)</w:t>
            </w:r>
          </w:p>
        </w:tc>
        <w:tc>
          <w:tcPr/>
          <w:p>
            <w:pPr>
              <w:pStyle w:val="Compact"/>
            </w:pPr>
            <w:r>
              <w:t xml:space="preserve">BP; syncope; bronchospasm risk; device performance; backup device availability</w:t>
            </w:r>
          </w:p>
        </w:tc>
        <w:tc>
          <w:tcPr/>
          <w:p>
            <w:pPr>
              <w:pStyle w:val="Compact"/>
            </w:pPr>
            <w:r>
              <w:t xml:space="preserve">No class-wide absolute interaction contraindications; avoid additive hypotension; ensure device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Selexipag (oral IP receptor agonist; Uptravi)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200 mcg BID</w:t>
            </w:r>
          </w:p>
        </w:tc>
        <w:tc>
          <w:tcPr/>
          <w:p>
            <w:pPr>
              <w:pStyle w:val="Compact"/>
            </w:pPr>
            <w:r>
              <w:t xml:space="preserve">Increase by 200 mcg BID at ~weekly intervals to highest tolerated up to 1600 mcg BID (“personal dose”); hepatic impairment: once-daily regimen in Child-Pugh B per label</w:t>
            </w:r>
          </w:p>
        </w:tc>
        <w:tc>
          <w:tcPr/>
          <w:p>
            <w:pPr>
              <w:pStyle w:val="Compact"/>
            </w:pPr>
            <w:r>
              <w:t xml:space="preserve">BP; headache/jaw pain/diarrhea pattern; thyroid symptoms (rare); drug interactions (CYP2C8 inhibitors)</w:t>
            </w:r>
          </w:p>
        </w:tc>
        <w:tc>
          <w:tcPr/>
          <w:p>
            <w:pPr>
              <w:pStyle w:val="Compact"/>
            </w:pPr>
            <w:r>
              <w:t xml:space="preserve">Strong CYP2C8 inhibitors (e.g., gemfibrozil) contraindicated; clopidogrel requires once-daily dosing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Sotatercept (Winrevair)</w:t>
            </w:r>
          </w:p>
        </w:tc>
        <w:tc>
          <w:tcPr/>
          <w:p>
            <w:pPr>
              <w:pStyle w:val="Compact"/>
            </w:pPr>
            <w:r>
              <w:t xml:space="preserve">SC q3 weeks</w:t>
            </w:r>
          </w:p>
        </w:tc>
        <w:tc>
          <w:tcPr/>
          <w:p>
            <w:pPr>
              <w:pStyle w:val="Compact"/>
            </w:pPr>
            <w:r>
              <w:t xml:space="preserve">0.3 mg/kg SC q3 weeks</w:t>
            </w:r>
          </w:p>
        </w:tc>
        <w:tc>
          <w:tcPr/>
          <w:p>
            <w:pPr>
              <w:pStyle w:val="Compact"/>
            </w:pPr>
            <w:r>
              <w:t xml:space="preserve">Escalate to 0.7 mg/kg q3 weeks after verifying acceptable Hgb/platelets; hold/modify dosing per Hgb rise/platelet drop; do not initiate if platelets &lt;50k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Hemoglobin + platelets</w:t>
            </w:r>
            <w:r>
              <w:t xml:space="preserve"> </w:t>
            </w:r>
            <w:r>
              <w:t xml:space="preserve">before each dose for first 5 doses (or longer if unstable), then periodically; BP and thrombosis/bleeding vigilance</w:t>
            </w:r>
          </w:p>
        </w:tc>
        <w:tc>
          <w:tcPr/>
          <w:p>
            <w:pPr>
              <w:pStyle w:val="Compact"/>
            </w:pPr>
            <w:r>
              <w:t xml:space="preserve">Platelets &lt;50k at initiation (do not start); other contraindications per label; practice requires careful thrombosis/bleeding risk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Anticoagulation in CTEPH</w:t>
            </w:r>
          </w:p>
        </w:tc>
        <w:tc>
          <w:tcPr/>
          <w:p>
            <w:pPr>
              <w:pStyle w:val="Compact"/>
            </w:pPr>
            <w:r>
              <w:t xml:space="preserve">PO (VKA or DOAC; population-dependent)</w:t>
            </w:r>
          </w:p>
        </w:tc>
        <w:tc>
          <w:tcPr/>
          <w:p>
            <w:pPr>
              <w:pStyle w:val="Compact"/>
            </w:pPr>
            <w:r>
              <w:t xml:space="preserve">Lifelong therapeutic anticoagulation recommended (agent selection varies)</w:t>
            </w:r>
          </w:p>
        </w:tc>
        <w:tc>
          <w:tcPr/>
          <w:p>
            <w:pPr>
              <w:pStyle w:val="Compact"/>
            </w:pPr>
            <w:r>
              <w:t xml:space="preserve">Goal = therapeutic anticoagulation indefinitely; intensity/choice individualized</w:t>
            </w:r>
          </w:p>
        </w:tc>
        <w:tc>
          <w:tcPr/>
          <w:p>
            <w:pPr>
              <w:pStyle w:val="Compact"/>
            </w:pPr>
            <w:r>
              <w:t xml:space="preserve">Bleeding risk; renal function (DOAC dosing); interactions; procedural planning (PEA/BPA)</w:t>
            </w:r>
          </w:p>
        </w:tc>
        <w:tc>
          <w:tcPr/>
          <w:p>
            <w:pPr>
              <w:pStyle w:val="Compact"/>
            </w:pPr>
            <w:r>
              <w:t xml:space="preserve">No “one-size-fits-all”; guideline recommendation is lifelong anticoagulation; VKA still commonly referenced though DOAC data growing</w:t>
            </w:r>
          </w:p>
        </w:tc>
      </w:tr>
    </w:tbl>
    <w:bookmarkEnd w:id="33"/>
    <w:bookmarkStart w:id="74" w:name="concise-per-drug-initiation-guidance"/>
    <w:p>
      <w:pPr>
        <w:pStyle w:val="Heading2"/>
      </w:pPr>
      <w:r>
        <w:t xml:space="preserve">Concise per-drug initiation guidance</w:t>
      </w:r>
    </w:p>
    <w:bookmarkStart w:id="41" w:name="endothelin-receptor-antagonists"/>
    <w:p>
      <w:pPr>
        <w:pStyle w:val="Heading3"/>
      </w:pPr>
      <w:r>
        <w:t xml:space="preserve">Endothelin receptor antagonists</w:t>
      </w:r>
    </w:p>
    <w:p>
      <w:pPr>
        <w:pStyle w:val="FirstParagraph"/>
      </w:pPr>
      <w:r>
        <w:rPr>
          <w:b/>
          <w:bCs/>
        </w:rPr>
        <w:t xml:space="preserve">Bosentan (Tracleer; ERA)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62.5 mg BID for 4 weeks, then 125 mg BID maintenance in adults &gt;40 kg (label provides weight-based variants).</w:t>
      </w:r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r>
        <w:rPr>
          <w:b/>
          <w:bCs/>
        </w:rPr>
        <w:t xml:space="preserve">High-yield safety</w:t>
      </w:r>
      <w:r>
        <w:t xml:space="preserve">: boxed warning for</w:t>
      </w:r>
      <w:r>
        <w:t xml:space="preserve"> </w:t>
      </w:r>
      <w:r>
        <w:rPr>
          <w:b/>
          <w:bCs/>
        </w:rPr>
        <w:t xml:space="preserve">hepatotoxicity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embryo-fetal toxicity</w:t>
      </w:r>
      <w:r>
        <w:t xml:space="preserve">, with a restricted access program (Bosentan REMS) described in labeling.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liver function testing is required before starting and</w:t>
      </w:r>
      <w:r>
        <w:t xml:space="preserve"> </w:t>
      </w:r>
      <w:r>
        <w:rPr>
          <w:b/>
          <w:bCs/>
        </w:rPr>
        <w:t xml:space="preserve">monthly thereafter</w:t>
      </w:r>
      <w:r>
        <w:t xml:space="preserve"> </w:t>
      </w:r>
      <w:r>
        <w:t xml:space="preserve">(Medication Guide/lab requirement language).</w:t>
      </w:r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Hemoglobin decreases are a known risk; labeling directs hemoglobin testing during therapy.</w:t>
      </w:r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b/>
          <w:bCs/>
        </w:rPr>
        <w:t xml:space="preserve">Hard contraindications</w:t>
      </w:r>
      <w:r>
        <w:t xml:space="preserve"> </w:t>
      </w:r>
      <w:r>
        <w:t xml:space="preserve">include pregnancy, cyclosporine A, and glyburide in the labeling.</w:t>
      </w:r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r>
        <w:rPr>
          <w:b/>
          <w:bCs/>
        </w:rPr>
        <w:t xml:space="preserve">Interactions</w:t>
      </w:r>
      <w:r>
        <w:t xml:space="preserve">: bosentan has substantial CYP-related interaction potential (including reducing exposure to some co-medications and affecting hormonal contraception effectiveness per labeling warnings), making “complete medication reconciliation” essential at start.</w:t>
      </w:r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Ambrisentan (Letairis; ERA)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initiate 5 mg once daily; at ~4-week intervals increase to 10 mg daily as needed/tolerated; labeling also describes optional co-initiation with tadalafil.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b/>
          <w:bCs/>
        </w:rPr>
        <w:t xml:space="preserve">High-yield safety</w:t>
      </w:r>
      <w:r>
        <w:t xml:space="preserve">: embryo-fetal toxicity boxed warning; pregnancy is contraindicated; restricted distribution programs and monthly pregnancy testing language appear in prescribing documents.</w:t>
      </w:r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pregnancy testing and effective contraception adherence are central; clinically, monitor edema/fluid retention and hemoglobin (anemia).</w:t>
      </w:r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r>
        <w:rPr>
          <w:b/>
          <w:bCs/>
        </w:rPr>
        <w:t xml:space="preserve">Hepatic impairment</w:t>
      </w:r>
      <w:r>
        <w:t xml:space="preserve">: labeling notes the drug is not recommended in moderate/severe hepatic impairment.</w:t>
      </w:r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Macitentan (Opsumit; ERA)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10 mg once daily; no titration required.</w:t>
      </w:r>
      <w:r>
        <w:t xml:space="preserve"> </w:t>
      </w:r>
      <w:hyperlink r:id="rId38">
        <w:r>
          <w:rPr>
            <w:rStyle w:val="Hyperlink"/>
          </w:rPr>
          <w:t xml:space="preserve">[29]</w:t>
        </w:r>
      </w:hyperlink>
      <w:r>
        <w:t xml:space="preserve"> </w:t>
      </w:r>
      <w:r>
        <w:rPr>
          <w:b/>
          <w:bCs/>
        </w:rPr>
        <w:t xml:space="preserve">High-yield safety</w:t>
      </w:r>
      <w:r>
        <w:t xml:space="preserve">: embryo-fetal toxicity boxed warning with explicit pregnancy exclusion and contraception requirements.</w:t>
      </w:r>
      <w:r>
        <w:t xml:space="preserve"> </w:t>
      </w:r>
      <w:hyperlink r:id="rId39">
        <w:r>
          <w:rPr>
            <w:rStyle w:val="Hyperlink"/>
          </w:rPr>
          <w:t xml:space="preserve">[30]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labeling and manufacturer materials emphasize baseline hemoglobin and liver enzymes with repeat testing as clinically indicated (not necessarily a mandated monthly schedule in the same way as bosentan).</w:t>
      </w:r>
      <w:r>
        <w:t xml:space="preserve"> </w:t>
      </w: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r>
        <w:rPr>
          <w:b/>
          <w:bCs/>
        </w:rPr>
        <w:t xml:space="preserve">Interactions</w:t>
      </w:r>
      <w:r>
        <w:t xml:space="preserve">: macitentan has fewer clinically disruptive interactions than bosentan in many cases, but still requires review, especially when used in combination regimens.</w:t>
      </w:r>
      <w:r>
        <w:t xml:space="preserve"> </w:t>
      </w:r>
      <w:hyperlink r:id="rId39">
        <w:r>
          <w:rPr>
            <w:rStyle w:val="Hyperlink"/>
          </w:rPr>
          <w:t xml:space="preserve">[32]</w:t>
        </w:r>
      </w:hyperlink>
    </w:p>
    <w:bookmarkEnd w:id="41"/>
    <w:bookmarkStart w:id="48" w:name="pde5-inhibitors"/>
    <w:p>
      <w:pPr>
        <w:pStyle w:val="Heading3"/>
      </w:pPr>
      <w:r>
        <w:t xml:space="preserve">PDE5 inhibitors</w:t>
      </w:r>
    </w:p>
    <w:p>
      <w:pPr>
        <w:pStyle w:val="FirstParagraph"/>
      </w:pPr>
      <w:r>
        <w:rPr>
          <w:b/>
          <w:bCs/>
        </w:rPr>
        <w:t xml:space="preserve">Sildenafil (Revatio; PDE5 inhibitor)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recommended 20 mg three times daily; label language supports titration up to 80 mg TID when needed based on symptoms/tolerability.</w:t>
      </w:r>
      <w:r>
        <w:t xml:space="preserve"> </w:t>
      </w: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b/>
          <w:bCs/>
        </w:rPr>
        <w:t xml:space="preserve">Absolute contraindications</w:t>
      </w:r>
      <w:r>
        <w:t xml:space="preserve">: organic nitrates (any form) are contraindicated due to profound hypotension risk; concomitant</w:t>
      </w:r>
      <w:r>
        <w:t xml:space="preserve"> </w:t>
      </w:r>
      <w:r>
        <w:rPr>
          <w:b/>
          <w:bCs/>
        </w:rPr>
        <w:t xml:space="preserve">riociguat is contraindicated</w:t>
      </w:r>
      <w:r>
        <w:t xml:space="preserve"> </w:t>
      </w:r>
      <w:r>
        <w:t xml:space="preserve">(PDE5 inhibition plus sGC stimulation increases hypotension risk).</w:t>
      </w:r>
      <w:r>
        <w:t xml:space="preserve"> </w:t>
      </w: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r>
        <w:rPr>
          <w:b/>
          <w:bCs/>
        </w:rPr>
        <w:t xml:space="preserve">Interactions</w:t>
      </w:r>
      <w:r>
        <w:t xml:space="preserve">: strong CYP3A inhibitors are not recommended with sildenafil in labeling; moderate-to-strong CYP3A inducers can reduce exposure, and labeling describes dose adjustments when stopping inducers.</w:t>
      </w:r>
      <w:r>
        <w:t xml:space="preserve"> </w:t>
      </w:r>
      <w:hyperlink r:id="rId44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BP and hypotension symptoms are practical priorities; also counsel for rare but serious ocular events described in labeling (e.g., NAION warning language in PDE5 labeling) and hearing symptoms.</w:t>
      </w:r>
      <w:r>
        <w:t xml:space="preserve"> </w:t>
      </w:r>
      <w:hyperlink r:id="rId44">
        <w:r>
          <w:rPr>
            <w:rStyle w:val="Hyperlink"/>
          </w:rPr>
          <w:t xml:space="preserve">[36]</w:t>
        </w:r>
      </w:hyperlink>
      <w:r>
        <w:t xml:space="preserve"> </w:t>
      </w:r>
      <w:r>
        <w:rPr>
          <w:b/>
          <w:bCs/>
        </w:rPr>
        <w:t xml:space="preserve">Route notes</w:t>
      </w:r>
      <w:r>
        <w:t xml:space="preserve">: IV sildenafil exists for situations where enteral administration is not possible, but initiation details are label- and institution-dependent; this report remains focused on adult chronic outpatient starts.</w:t>
      </w:r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Tadalafil (Adcirca; PDE5 inhibitor)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40 mg once daily; dividing the dose is not recommended.</w:t>
      </w:r>
      <w:r>
        <w:t xml:space="preserve"> </w:t>
      </w:r>
      <w:hyperlink r:id="rId45">
        <w:r>
          <w:rPr>
            <w:rStyle w:val="Hyperlink"/>
          </w:rPr>
          <w:t xml:space="preserve">[38]</w:t>
        </w:r>
      </w:hyperlink>
      <w:r>
        <w:t xml:space="preserve"> </w:t>
      </w:r>
      <w:r>
        <w:rPr>
          <w:b/>
          <w:bCs/>
        </w:rPr>
        <w:t xml:space="preserve">Renal/hepatic adjustments</w:t>
      </w:r>
      <w:r>
        <w:t xml:space="preserve">: labeling describes starting at 20 mg daily for mild/moderate renal impairment and avoiding use in severe renal impairment; and suggests a lower starting dose (20 mg daily) in mild/moderate hepatic impairment due to limited experience.</w:t>
      </w:r>
      <w:r>
        <w:t xml:space="preserve"> </w:t>
      </w: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rPr>
          <w:b/>
          <w:bCs/>
        </w:rPr>
        <w:t xml:space="preserve">Drug interactions</w:t>
      </w:r>
      <w:r>
        <w:t xml:space="preserve">: labeling provides specific instructions for co-administration with ritonavir (including avoidance during ritonavir initiation and resuming tadalafil after ≥1 week with lower starting doses), reflecting clinically important CYP3A effects.</w:t>
      </w:r>
      <w:r>
        <w:t xml:space="preserve"> </w:t>
      </w:r>
      <w:hyperlink r:id="rId47">
        <w:r>
          <w:rPr>
            <w:rStyle w:val="Hyperlink"/>
          </w:rPr>
          <w:t xml:space="preserve">[40]</w:t>
        </w:r>
      </w:hyperlink>
      <w:r>
        <w:t xml:space="preserve"> </w:t>
      </w:r>
      <w:r>
        <w:rPr>
          <w:b/>
          <w:bCs/>
        </w:rPr>
        <w:t xml:space="preserve">Contraindications</w:t>
      </w:r>
      <w:r>
        <w:t xml:space="preserve">: nitrates remain the core “never combine” interaction.</w:t>
      </w:r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</w:p>
    <w:bookmarkEnd w:id="48"/>
    <w:bookmarkStart w:id="51" w:name="soluble-guanylate-cyclase-stimulation"/>
    <w:p>
      <w:pPr>
        <w:pStyle w:val="Heading3"/>
      </w:pPr>
      <w:r>
        <w:t xml:space="preserve">Soluble guanylate cyclase stimulation</w:t>
      </w:r>
    </w:p>
    <w:p>
      <w:pPr>
        <w:pStyle w:val="FirstParagraph"/>
      </w:pPr>
      <w:r>
        <w:rPr>
          <w:b/>
          <w:bCs/>
        </w:rPr>
        <w:t xml:space="preserve">Riociguat (Adempas; sGC stimulator; PAH and CTEPH)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begin 1 mg TID, or 0.5 mg TID in patients at risk of hypotension; titrate no more often than every 2 weeks by 0.5 mg TID to max 2.5 mg TID if systolic BP remains &gt;95 mmHg without hypotension.</w:t>
      </w:r>
      <w:r>
        <w:t xml:space="preserve"> </w:t>
      </w:r>
      <w:hyperlink r:id="rId31">
        <w:r>
          <w:rPr>
            <w:rStyle w:val="Hyperlink"/>
          </w:rPr>
          <w:t xml:space="preserve">[42]</w:t>
        </w:r>
      </w:hyperlink>
      <w:r>
        <w:t xml:space="preserve"> </w:t>
      </w:r>
      <w:r>
        <w:rPr>
          <w:b/>
          <w:bCs/>
        </w:rPr>
        <w:t xml:space="preserve">Absolute contraindications/major interactions</w:t>
      </w:r>
      <w:r>
        <w:t xml:space="preserve">:</w:t>
      </w:r>
      <w:r>
        <w:t xml:space="preserve"> </w:t>
      </w:r>
      <w:r>
        <w:rPr>
          <w:b/>
          <w:bCs/>
        </w:rPr>
        <w:t xml:space="preserve">do not coadminister with PDE5 inhibitors</w:t>
      </w:r>
      <w:r>
        <w:t xml:space="preserve">. Labeling specifies washouts: do not administer riociguat within 24 hours of sildenafil; do not administer 24 hours before or within 48 hours after tadalafil. Nitrates/NO donors are also contraindicated.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b/>
          <w:bCs/>
        </w:rPr>
        <w:t xml:space="preserve">Pregnancy</w:t>
      </w:r>
      <w:r>
        <w:t xml:space="preserve">: embryo-fetal toxicity language mandates negative pregnancy testing before start and ongoing testing during therapy in females of reproductive potential.</w:t>
      </w:r>
      <w:r>
        <w:t xml:space="preserve"> </w:t>
      </w:r>
      <w:hyperlink r:id="rId49">
        <w:r>
          <w:rPr>
            <w:rStyle w:val="Hyperlink"/>
          </w:rPr>
          <w:t xml:space="preserve">[43]</w:t>
        </w:r>
      </w:hyperlink>
      <w:r>
        <w:t xml:space="preserve"> </w:t>
      </w:r>
      <w:r>
        <w:rPr>
          <w:b/>
          <w:bCs/>
        </w:rPr>
        <w:t xml:space="preserve">Special contraindication</w:t>
      </w:r>
      <w:r>
        <w:t xml:space="preserve">: U.S. labeling includes contraindication for PH associated with idiopathic interstitial pneumonias (PH-IIP).</w:t>
      </w:r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BP during titration (~q2 weeks) is emphasized in patient medication materials; smoking reduces exposure substantially in labeling, and changes in smoking status can impact dosing decisions.</w:t>
      </w:r>
      <w:r>
        <w:t xml:space="preserve"> </w:t>
      </w:r>
      <w:hyperlink r:id="rId50">
        <w:r>
          <w:rPr>
            <w:rStyle w:val="Hyperlink"/>
          </w:rPr>
          <w:t xml:space="preserve">[45]</w:t>
        </w:r>
      </w:hyperlink>
    </w:p>
    <w:bookmarkEnd w:id="51"/>
    <w:bookmarkStart w:id="67" w:name="prostacyclin-pathway-therapies"/>
    <w:p>
      <w:pPr>
        <w:pStyle w:val="Heading3"/>
      </w:pPr>
      <w:r>
        <w:t xml:space="preserve">Prostacyclin pathway therapies</w:t>
      </w:r>
    </w:p>
    <w:p>
      <w:pPr>
        <w:pStyle w:val="FirstParagraph"/>
      </w:pPr>
      <w:r>
        <w:rPr>
          <w:b/>
          <w:bCs/>
        </w:rPr>
        <w:t xml:space="preserve">Epoprostenol IV (Flolan; prostacyclin)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Start/titration (label)</w:t>
      </w:r>
      <w:r>
        <w:t xml:space="preserve">: initiate at 2 ng/kg/min; alter by 1–2 ng/kg/min increments at intervals ≥15 minutes to assess clinical response; chronic dosing is individualized.</w:t>
      </w:r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b/>
          <w:bCs/>
        </w:rPr>
        <w:t xml:space="preserve">Serious operational risk</w:t>
      </w:r>
      <w:r>
        <w:t xml:space="preserve">: abrupt interruption or large sudden reductions can cause rapid deterioration (“rebound”); initiation requires infusion expertise, patient/caregiver training, and backup pump/medication planning.</w:t>
      </w:r>
      <w:r>
        <w:t xml:space="preserve"> </w:t>
      </w:r>
      <w:hyperlink r:id="rId52">
        <w:r>
          <w:rPr>
            <w:rStyle w:val="Hyperlink"/>
          </w:rPr>
          <w:t xml:space="preserve">[46]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close BP/HR/symptom monitoring during initiation; ongoing surveillance for catheter infection, thrombosis, and infusion integrity is essential in home therapy models.</w:t>
      </w:r>
      <w:r>
        <w:t xml:space="preserve"> </w:t>
      </w:r>
      <w:hyperlink r:id="rId52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Epoprostenol IV (Veletri; prostacyclin)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Start/titration (label)</w:t>
      </w:r>
      <w:r>
        <w:t xml:space="preserve">: initiate chronic infusion at 2 ng/kg/min and increase in increments of 2 ng/kg/min every ≥15 minutes until tolerance limit established; chronic adjustments should avoid abrupt withdrawal; infusion is generally via central venous catheter (peripheral acceptable temporarily until central access established).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The practical difference between Flolan and Veletri often centers on formulation stability and institutional protocols; start and titration principles are label-driven and operationally similar.</w:t>
      </w:r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Treprostinil continuous infusion (Remodulin; prostacyclin analog)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Start/titration (label)</w:t>
      </w:r>
      <w:r>
        <w:t xml:space="preserve">: start 1.25 ng/kg/min (reduce to 0.625 if not tolerated); SC is preferred, IV via central line if SC site pain is intolerable.</w:t>
      </w:r>
      <w:r>
        <w:t xml:space="preserve"> </w:t>
      </w:r>
      <w:hyperlink r:id="rId53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Label language for titration supports weekly increases (commonly +1.25 ng/kg/min per week initially, then larger increments depending on tolerance), but real-world practice often uses individualized titration that may accelerate in monitored settings.</w:t>
      </w:r>
      <w:r>
        <w:t xml:space="preserve"> </w:t>
      </w:r>
      <w:hyperlink r:id="rId54">
        <w:r>
          <w:rPr>
            <w:rStyle w:val="Hyperlink"/>
          </w:rPr>
          <w:t xml:space="preserve">[49]</w:t>
        </w:r>
      </w:hyperlink>
      <w:r>
        <w:t xml:space="preserve"> </w:t>
      </w:r>
      <w:r>
        <w:rPr>
          <w:b/>
          <w:bCs/>
        </w:rPr>
        <w:t xml:space="preserve">Hepatic impairment</w:t>
      </w:r>
      <w:r>
        <w:t xml:space="preserve">: label recommends reducing the initial dose (e.g., to 0.625 ng/kg/min ideal body weight) and titrating cautiously in mild/moderate hepatic insufficiency.</w:t>
      </w:r>
      <w:r>
        <w:t xml:space="preserve"> </w:t>
      </w:r>
      <w:hyperlink r:id="rId55">
        <w:r>
          <w:rPr>
            <w:rStyle w:val="Hyperlink"/>
          </w:rPr>
          <w:t xml:space="preserve">[50]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BP, prostacyclin-class AEs (headache, jaw pain, diarrhea, flushing), SC site pain management, and central line infection risk for IV therapy; avoid abrupt cessation.</w:t>
      </w:r>
      <w:r>
        <w:t xml:space="preserve"> </w:t>
      </w:r>
      <w:hyperlink r:id="rId54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Treprostinil inhaled (Tyvaso nebulized)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initiate at 3 breaths (18 mcg) per session QID; if not tolerated reduce to 1–2 breaths then re-escalate; increase by 3 breaths/session every ~1–2 weeks; target doses used in PAH and PH-ILD studies are 9–12 breaths/session QID.</w:t>
      </w:r>
      <w:r>
        <w:t xml:space="preserve"> </w:t>
      </w:r>
      <w:hyperlink r:id="rId56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b/>
          <w:bCs/>
        </w:rPr>
        <w:t xml:space="preserve">Key safety</w:t>
      </w:r>
      <w:r>
        <w:t xml:space="preserve">: labeling includes risks of</w:t>
      </w:r>
      <w:r>
        <w:t xml:space="preserve"> </w:t>
      </w:r>
      <w:r>
        <w:rPr>
          <w:b/>
          <w:bCs/>
        </w:rPr>
        <w:t xml:space="preserve">symptomatic hypotension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bleeding</w:t>
      </w:r>
      <w:r>
        <w:t xml:space="preserve"> </w:t>
      </w:r>
      <w:r>
        <w:t xml:space="preserve">(platelet aggregation inhibition); inhaled prostacyclin effects may cause bronchospasm in susceptible airways.</w:t>
      </w:r>
      <w:r>
        <w:t xml:space="preserve"> </w:t>
      </w:r>
      <w:hyperlink r:id="rId57">
        <w:r>
          <w:rPr>
            <w:rStyle w:val="Hyperlink"/>
          </w:rPr>
          <w:t xml:space="preserve">[52]</w:t>
        </w:r>
      </w:hyperlink>
      <w:r>
        <w:t xml:space="preserve"> </w:t>
      </w:r>
      <w:r>
        <w:rPr>
          <w:b/>
          <w:bCs/>
        </w:rPr>
        <w:t xml:space="preserve">Administration</w:t>
      </w:r>
      <w:r>
        <w:t xml:space="preserve">: requires consistent device operation and cleaning, four equally spaced daily sessions, and patient ability to coordinate inhalation technique.</w:t>
      </w:r>
      <w:r>
        <w:t xml:space="preserve"> </w:t>
      </w:r>
      <w:hyperlink r:id="rId29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b/>
          <w:bCs/>
        </w:rPr>
        <w:t xml:space="preserve">Treprostinil inhaled powder (Tyvaso DPI)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begin with one 16 mcg cartridge per session QID; increase by 16 mcg/session at ~1–2 week intervals; target maintenance usually 48–64 mcg/session; higher doses may require multiple cartridges per session according to label instructions.</w:t>
      </w:r>
      <w:r>
        <w:t xml:space="preserve"> </w:t>
      </w:r>
      <w:hyperlink r:id="rId58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similar to inhaled solution (BP, bleeding, bronchospasm symptoms).</w:t>
      </w:r>
      <w:r>
        <w:t xml:space="preserve"> </w:t>
      </w:r>
      <w:hyperlink r:id="rId57">
        <w:r>
          <w:rPr>
            <w:rStyle w:val="Hyperlink"/>
          </w:rPr>
          <w:t xml:space="preserve">[54]</w:t>
        </w:r>
      </w:hyperlink>
      <w:r>
        <w:t xml:space="preserve"> </w:t>
      </w:r>
      <w:r>
        <w:rPr>
          <w:b/>
          <w:bCs/>
        </w:rPr>
        <w:t xml:space="preserve">Administration</w:t>
      </w:r>
      <w:r>
        <w:t xml:space="preserve">: DPI uses a single inhalation per cartridge and requires training to ensure correct cartridge handling and device-only use.</w:t>
      </w:r>
      <w:r>
        <w:t xml:space="preserve"> </w:t>
      </w:r>
      <w:hyperlink r:id="rId58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Treprostinil oral extended-release (Orenitram)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0.125 mg TID (q8h) or 0.25 mg BID (q12h),</w:t>
      </w:r>
      <w:r>
        <w:t xml:space="preserve"> </w:t>
      </w:r>
      <w:r>
        <w:rPr>
          <w:b/>
          <w:bCs/>
        </w:rPr>
        <w:t xml:space="preserve">with food</w:t>
      </w:r>
      <w:r>
        <w:t xml:space="preserve">; titrate no more often than every 3–4 days using the specified increment sizes; goal is the highest tolerated dose; label lists a maximum recommended daily dose of 120 mg.</w:t>
      </w:r>
      <w:r>
        <w:t xml:space="preserve"> </w:t>
      </w:r>
      <w:hyperlink r:id="rId59">
        <w:r>
          <w:rPr>
            <w:rStyle w:val="Hyperlink"/>
          </w:rPr>
          <w:t xml:space="preserve">[56]</w:t>
        </w:r>
      </w:hyperlink>
      <w:r>
        <w:t xml:space="preserve"> </w:t>
      </w:r>
      <w:r>
        <w:rPr>
          <w:b/>
          <w:bCs/>
        </w:rPr>
        <w:t xml:space="preserve">Hepatic impairment</w:t>
      </w:r>
      <w:r>
        <w:t xml:space="preserve">: avoid in moderate hepatic impairment and contraindicated in severe (Child-Pugh C).</w:t>
      </w:r>
      <w:r>
        <w:t xml:space="preserve"> </w:t>
      </w:r>
      <w:hyperlink r:id="rId60">
        <w:r>
          <w:rPr>
            <w:rStyle w:val="Hyperlink"/>
          </w:rPr>
          <w:t xml:space="preserve">[57]</w:t>
        </w:r>
      </w:hyperlink>
      <w:r>
        <w:t xml:space="preserve"> </w:t>
      </w:r>
      <w:r>
        <w:rPr>
          <w:b/>
          <w:bCs/>
        </w:rPr>
        <w:t xml:space="preserve">Interactions</w:t>
      </w:r>
      <w:r>
        <w:t xml:space="preserve">: strong CYP2C8 inhibitors (e.g., gemfibrozil) require lower starting dose and slower titration per label.</w:t>
      </w:r>
      <w:r>
        <w:t xml:space="preserve"> </w:t>
      </w:r>
      <w:hyperlink r:id="rId61">
        <w:r>
          <w:rPr>
            <w:rStyle w:val="Hyperlink"/>
          </w:rPr>
          <w:t xml:space="preserve">[58]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typical prostacyclin-class AEs (GI effects, headache, flushing), BP, bleeding risk, and clinical worsening risk if abruptly reduced or stopped.</w:t>
      </w:r>
      <w:r>
        <w:t xml:space="preserve"> </w:t>
      </w:r>
      <w:hyperlink r:id="rId60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Iloprost inhaled (Ventavis)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initial inhaled dose 2.5 mcg; if tolerated increase to 5 mcg and maintain; administer 6–9 times per day during waking hours, at least 2 hours apart; maximum studied daily dose 45 mcg (5 mcg x9).</w:t>
      </w:r>
      <w:r>
        <w:t xml:space="preserve"> </w:t>
      </w:r>
      <w:hyperlink r:id="rId62">
        <w:r>
          <w:rPr>
            <w:rStyle w:val="Hyperlink"/>
          </w:rPr>
          <w:t xml:space="preserve">[19]</w:t>
        </w:r>
      </w:hyperlink>
      <w:r>
        <w:t xml:space="preserve"> </w:t>
      </w:r>
      <w:r>
        <w:rPr>
          <w:b/>
          <w:bCs/>
        </w:rPr>
        <w:t xml:space="preserve">Administration</w:t>
      </w:r>
      <w:r>
        <w:t xml:space="preserve">: label specifies compatible nebulizer systems and emphasizes access to backup equipment to avoid treatment interruption due to device malfunction.</w:t>
      </w:r>
      <w:r>
        <w:t xml:space="preserve"> </w:t>
      </w:r>
      <w:hyperlink r:id="rId63">
        <w:r>
          <w:rPr>
            <w:rStyle w:val="Hyperlink"/>
          </w:rPr>
          <w:t xml:space="preserve">[60]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BP and syncope, airway reactivity, and adherence to frequent dosing schedule (a major practical barrier).</w:t>
      </w:r>
      <w:r>
        <w:t xml:space="preserve"> </w:t>
      </w:r>
      <w:hyperlink r:id="rId62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rPr>
          <w:b/>
          <w:bCs/>
        </w:rPr>
        <w:t xml:space="preserve">Selexipag (Uptravi; oral IP receptor agonist)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Start/goal (label)</w:t>
      </w:r>
      <w:r>
        <w:t xml:space="preserve">: initiate 200 mcg BID; increase by 200 mcg BID at ~weekly intervals to the highest tolerated dose up to 1600 mcg BID; patients often remain at a “personal maintenance dose.”</w:t>
      </w:r>
      <w:r>
        <w:t xml:space="preserve"> </w:t>
      </w:r>
      <w:hyperlink r:id="rId64">
        <w:r>
          <w:rPr>
            <w:rStyle w:val="Hyperlink"/>
          </w:rPr>
          <w:t xml:space="preserve">[62]</w:t>
        </w:r>
      </w:hyperlink>
      <w:r>
        <w:t xml:space="preserve"> </w:t>
      </w:r>
      <w:r>
        <w:rPr>
          <w:b/>
          <w:bCs/>
        </w:rPr>
        <w:t xml:space="preserve">Drug interactions</w:t>
      </w:r>
      <w:r>
        <w:t xml:space="preserve">: strong CYP2C8 inhibitors (e.g., gemfibrozil) are contraindicated; clopidogrel (moderate CYP2C8 inhibitor) requires reducing dosing frequency to once daily per label.</w:t>
      </w:r>
      <w:r>
        <w:t xml:space="preserve"> </w:t>
      </w:r>
      <w:hyperlink r:id="rId65">
        <w:r>
          <w:rPr>
            <w:rStyle w:val="Hyperlink"/>
          </w:rPr>
          <w:t xml:space="preserve">[63]</w:t>
        </w:r>
      </w:hyperlink>
      <w:r>
        <w:t xml:space="preserve"> </w:t>
      </w:r>
      <w:r>
        <w:rPr>
          <w:b/>
          <w:bCs/>
        </w:rPr>
        <w:t xml:space="preserve">Hepatic impairment</w:t>
      </w:r>
      <w:r>
        <w:t xml:space="preserve">: U.S. labeling supports a once-daily regimen in moderate hepatic impairment (Child-Pugh B) and avoidance in severe impairment.</w:t>
      </w:r>
      <w:r>
        <w:t xml:space="preserve"> </w:t>
      </w:r>
      <w:hyperlink r:id="rId66">
        <w:r>
          <w:rPr>
            <w:rStyle w:val="Hyperlink"/>
          </w:rPr>
          <w:t xml:space="preserve">[64]</w:t>
        </w:r>
      </w:hyperlink>
      <w:r>
        <w:t xml:space="preserve"> </w:t>
      </w:r>
      <w:r>
        <w:rPr>
          <w:b/>
          <w:bCs/>
        </w:rPr>
        <w:t xml:space="preserve">Monitoring</w:t>
      </w:r>
      <w:r>
        <w:t xml:space="preserve">: BP, tolerability (headache, diarrhea, jaw pain), and interaction changes when CYP2C8 modulators are started/stopped.</w:t>
      </w:r>
      <w:r>
        <w:t xml:space="preserve"> </w:t>
      </w:r>
      <w:hyperlink r:id="rId65">
        <w:r>
          <w:rPr>
            <w:rStyle w:val="Hyperlink"/>
          </w:rPr>
          <w:t xml:space="preserve">[65]</w:t>
        </w:r>
      </w:hyperlink>
    </w:p>
    <w:bookmarkEnd w:id="67"/>
    <w:bookmarkStart w:id="70" w:name="sotatercept"/>
    <w:p>
      <w:pPr>
        <w:pStyle w:val="Heading3"/>
      </w:pPr>
      <w:r>
        <w:t xml:space="preserve">Sotatercept</w:t>
      </w:r>
    </w:p>
    <w:p>
      <w:pPr>
        <w:pStyle w:val="FirstParagraph"/>
      </w:pPr>
      <w:r>
        <w:rPr>
          <w:b/>
          <w:bCs/>
        </w:rPr>
        <w:t xml:space="preserve">Sotatercept (Winrevair)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Status and evidence framing</w:t>
      </w:r>
      <w:r>
        <w:t xml:space="preserve">: FDA labeling establishes dosing and mandated lab monitoring; WSPH 2024 incorporates sotatercept within a “four-pathway” framework but acknowledges evolving placement within algorithms.</w:t>
      </w:r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  <w:r>
        <w:t xml:space="preserve"> </w:t>
      </w:r>
      <w:r>
        <w:rPr>
          <w:b/>
          <w:bCs/>
        </w:rPr>
        <w:t xml:space="preserve">Start/goal (label)</w:t>
      </w:r>
      <w:r>
        <w:t xml:space="preserve">: 0.3 mg/kg SC every 3 weeks, then increase to 0.7 mg/kg every 3 weeks after verifying acceptable hemoglobin and platelet counts; do not initiate if platelet count is &lt;50,000/mm³.</w:t>
      </w:r>
      <w:r>
        <w:t xml:space="preserve"> </w:t>
      </w:r>
      <w:hyperlink r:id="rId68">
        <w:r>
          <w:rPr>
            <w:rStyle w:val="Hyperlink"/>
          </w:rPr>
          <w:t xml:space="preserve">[67]</w:t>
        </w:r>
      </w:hyperlink>
      <w:r>
        <w:t xml:space="preserve"> </w:t>
      </w:r>
      <w:r>
        <w:rPr>
          <w:b/>
          <w:bCs/>
        </w:rPr>
        <w:t xml:space="preserve">Monitoring (label-mandated)</w:t>
      </w:r>
      <w:r>
        <w:t xml:space="preserve">: hemoglobin and platelet count before each dose for the first five doses (or longer if unstable) and periodically thereafter; dose modifications may be required for hemoglobin increases or platelet decreases.</w:t>
      </w:r>
      <w:r>
        <w:t xml:space="preserve"> </w:t>
      </w:r>
      <w:hyperlink r:id="rId68">
        <w:r>
          <w:rPr>
            <w:rStyle w:val="Hyperlink"/>
          </w:rPr>
          <w:t xml:space="preserve">[67]</w:t>
        </w:r>
      </w:hyperlink>
      <w:r>
        <w:t xml:space="preserve"> </w:t>
      </w:r>
      <w:r>
        <w:rPr>
          <w:b/>
          <w:bCs/>
        </w:rPr>
        <w:t xml:space="preserve">Regulatory documentation outside the U.S.</w:t>
      </w:r>
      <w:r>
        <w:t xml:space="preserve">: European Commission/EMA documentation provides similar dosing structure.</w:t>
      </w:r>
      <w:r>
        <w:t xml:space="preserve"> </w:t>
      </w:r>
      <w:hyperlink r:id="rId69">
        <w:r>
          <w:rPr>
            <w:rStyle w:val="Hyperlink"/>
          </w:rPr>
          <w:t xml:space="preserve">[68]</w:t>
        </w:r>
      </w:hyperlink>
    </w:p>
    <w:bookmarkEnd w:id="70"/>
    <w:bookmarkStart w:id="73" w:name="X8719a21c753f79b3632a4eb609ca0e838393d61"/>
    <w:p>
      <w:pPr>
        <w:pStyle w:val="Heading3"/>
      </w:pPr>
      <w:r>
        <w:t xml:space="preserve">Anticoagulation and CTEPH-specific therapy</w:t>
      </w:r>
    </w:p>
    <w:p>
      <w:pPr>
        <w:pStyle w:val="FirstParagraph"/>
      </w:pPr>
      <w:r>
        <w:rPr>
          <w:b/>
          <w:bCs/>
        </w:rPr>
        <w:t xml:space="preserve">Anticoagulation in CTEPH (lifelong)</w:t>
      </w:r>
      <w:r>
        <w:t xml:space="preserve"> </w:t>
      </w:r>
      <w:r>
        <w:t xml:space="preserve">— ESC/ERS-aligned guidance states lifelong therapeutic anticoagulation is recommended in all patients with CTEPH.</w:t>
      </w:r>
      <w:r>
        <w:t xml:space="preserve"> </w:t>
      </w:r>
      <w:hyperlink r:id="rId26">
        <w:r>
          <w:rPr>
            <w:rStyle w:val="Hyperlink"/>
          </w:rPr>
          <w:t xml:space="preserve">[69]</w:t>
        </w:r>
      </w:hyperlink>
      <w:r>
        <w:t xml:space="preserve"> </w:t>
      </w:r>
      <w:r>
        <w:rPr>
          <w:b/>
          <w:bCs/>
        </w:rPr>
        <w:t xml:space="preserve">Variable practice</w:t>
      </w:r>
      <w:r>
        <w:t xml:space="preserve">: multiple reviews still note that international recommendations often prefer VKAs historically, but DOAC use is widespread; observational data (e.g., Japanese prospective cohort analyses) suggest comparable composite outcomes with potentially lower clinically relevant bleeding in DOAC-treated groups, though recurrence signals and confounding remain concerns.</w:t>
      </w:r>
      <w:r>
        <w:t xml:space="preserve"> </w:t>
      </w:r>
      <w:hyperlink r:id="rId71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Drug selection should be individualized by renal function, drug interactions, bleeding risk, antiphospholipid syndrome considerations, and procedural plans (PEA/BPA).</w:t>
      </w:r>
      <w:r>
        <w:t xml:space="preserve"> </w:t>
      </w:r>
      <w:hyperlink r:id="rId72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Riociguat in CTEPH</w:t>
      </w:r>
      <w:r>
        <w:t xml:space="preserve"> </w:t>
      </w:r>
      <w:r>
        <w:t xml:space="preserve">— Riociguat is labeled for CTEPH as well as PAH; dosing and titration are the same, with the same contraindications and interaction rules (notably PDE5 inhibitors and nitrates/NO donors).</w:t>
      </w:r>
      <w:r>
        <w:t xml:space="preserve"> </w:t>
      </w:r>
      <w:hyperlink r:id="rId31">
        <w:r>
          <w:rPr>
            <w:rStyle w:val="Hyperlink"/>
          </w:rPr>
          <w:t xml:space="preserve">[72]</w:t>
        </w:r>
      </w:hyperlink>
    </w:p>
    <w:bookmarkEnd w:id="73"/>
    <w:bookmarkEnd w:id="74"/>
    <w:bookmarkStart w:id="75" w:name="X6514870eb6d3bb7751095557f768c79b7cd4e04"/>
    <w:p>
      <w:pPr>
        <w:pStyle w:val="Heading2"/>
      </w:pPr>
      <w:r>
        <w:t xml:space="preserve">Continuous prostacyclin initiation workflow</w:t>
      </w:r>
    </w:p>
    <w:p>
      <w:pPr>
        <w:pStyle w:val="FirstParagraph"/>
      </w:pPr>
      <w:r>
        <w:t xml:space="preserve">This flowchart operationalizes label-based principles for</w:t>
      </w:r>
      <w:r>
        <w:t xml:space="preserve"> </w:t>
      </w:r>
      <w:r>
        <w:rPr>
          <w:b/>
          <w:bCs/>
        </w:rPr>
        <w:t xml:space="preserve">continuous IV prostacyclin initiation</w:t>
      </w:r>
      <w:r>
        <w:t xml:space="preserve"> </w:t>
      </w:r>
      <w:r>
        <w:t xml:space="preserve">(epoprostenol as the prototypical example), emphasizing monitoring, titration cadence, and infusion integrity.</w:t>
      </w:r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A[Indication for parenteral prostacyclin\n(e.g., high-risk PAH or inadequate response)] --&gt; B[Initiation setting\nICU/step-down or specialized PH unit]</w:t>
      </w:r>
      <w:r>
        <w:br/>
      </w:r>
      <w:r>
        <w:rPr>
          <w:rStyle w:val="VerbatimChar"/>
        </w:rPr>
        <w:t xml:space="preserve">  B --&gt; C[Baseline safety checks:\nBP/HR, volume status;\nCBC/CMP; pregnancy status if applicable;\nmed reconciliation (hypotension/bleeding risks)]</w:t>
      </w:r>
      <w:r>
        <w:br/>
      </w:r>
      <w:r>
        <w:rPr>
          <w:rStyle w:val="VerbatimChar"/>
        </w:rPr>
        <w:t xml:space="preserve">  C --&gt; D[Access &amp; logistics:\ncentral line plan (IV therapy);\nselect pump + backup pump;\ndrug mixing/stability plan;\npatient/caregiver education]</w:t>
      </w:r>
      <w:r>
        <w:br/>
      </w:r>
      <w:r>
        <w:rPr>
          <w:rStyle w:val="VerbatimChar"/>
        </w:rPr>
        <w:t xml:space="preserve">  D --&gt; E[Start infusion\nEpoprostenol: 2 ng/kg/min]</w:t>
      </w:r>
      <w:r>
        <w:br/>
      </w:r>
      <w:r>
        <w:rPr>
          <w:rStyle w:val="VerbatimChar"/>
        </w:rPr>
        <w:t xml:space="preserve">  E --&gt; F[Monitor q15–30 min initially:\nBP/HR, symptoms;\nheadache/jaw pain, flushing;\nsigns of hypotension]</w:t>
      </w:r>
      <w:r>
        <w:br/>
      </w:r>
      <w:r>
        <w:rPr>
          <w:rStyle w:val="VerbatimChar"/>
        </w:rPr>
        <w:t xml:space="preserve">  F --&gt; G{Tolerating dose?}</w:t>
      </w:r>
      <w:r>
        <w:br/>
      </w:r>
      <w:r>
        <w:rPr>
          <w:rStyle w:val="VerbatimChar"/>
        </w:rPr>
        <w:t xml:space="preserve">  G --&gt;|Yes| H[Increase infusion\n(typical label increments:\n+1–2 or +2 ng/kg/min;\nintervals ≥15 min)]</w:t>
      </w:r>
      <w:r>
        <w:br/>
      </w:r>
      <w:r>
        <w:rPr>
          <w:rStyle w:val="VerbatimChar"/>
        </w:rPr>
        <w:t xml:space="preserve">  G --&gt;|No| I[Decrease infusion gradually\n(avoid abrupt stop);\nmanage symptoms]</w:t>
      </w:r>
      <w:r>
        <w:br/>
      </w:r>
      <w:r>
        <w:rPr>
          <w:rStyle w:val="VerbatimChar"/>
        </w:rPr>
        <w:t xml:space="preserve">  H --&gt; F</w:t>
      </w:r>
      <w:r>
        <w:br/>
      </w:r>
      <w:r>
        <w:rPr>
          <w:rStyle w:val="VerbatimChar"/>
        </w:rPr>
        <w:t xml:space="preserve">  I --&gt; F</w:t>
      </w:r>
      <w:r>
        <w:br/>
      </w:r>
      <w:r>
        <w:rPr>
          <w:rStyle w:val="VerbatimChar"/>
        </w:rPr>
        <w:t xml:space="preserve">  F --&gt; J[Establish chronic dose plan:\nindividualized dose based on\nbenefit vs dose-limiting AEs]</w:t>
      </w:r>
      <w:r>
        <w:br/>
      </w:r>
      <w:r>
        <w:rPr>
          <w:rStyle w:val="VerbatimChar"/>
        </w:rPr>
        <w:t xml:space="preserve">  J --&gt; K[Discharge planning:\nhome nursing setup;\nline care + infection prevention;\nbackup supplies;\nclear “what to do if pump fails”]</w:t>
      </w:r>
      <w:r>
        <w:br/>
      </w:r>
      <w:r>
        <w:rPr>
          <w:rStyle w:val="VerbatimChar"/>
        </w:rPr>
        <w:t xml:space="preserve">  K --&gt; L[Early follow-up:\nfrequent contact in first weeks;\ndose adjustments;\nmonitor for line infection,\ninfusion interruption,\nclinical deterioration]</w:t>
      </w:r>
    </w:p>
    <w:bookmarkEnd w:id="75"/>
    <w:bookmarkStart w:id="78" w:name="X87c86c83ca6ba53f47cd797d0fc1545573a9759"/>
    <w:p>
      <w:pPr>
        <w:pStyle w:val="Heading2"/>
      </w:pPr>
      <w:r>
        <w:t xml:space="preserve">Uncertainties, variable practice, and “where judgment is required”</w:t>
      </w:r>
    </w:p>
    <w:p>
      <w:pPr>
        <w:pStyle w:val="FirstParagraph"/>
      </w:pPr>
      <w:r>
        <w:t xml:space="preserve">“Goal dose” is often</w:t>
      </w:r>
      <w:r>
        <w:t xml:space="preserve"> </w:t>
      </w:r>
      <w:r>
        <w:rPr>
          <w:b/>
          <w:bCs/>
        </w:rPr>
        <w:t xml:space="preserve">not fixed</w:t>
      </w:r>
      <w:r>
        <w:t xml:space="preserve"> </w:t>
      </w:r>
      <w:r>
        <w:t xml:space="preserve">for prostacyclins and some oral pathway agents. Epoprostenol and treprostinil infusion labels specify starting doses and titration increments, but do not define a universal “target ng/kg/min,” making the practical goal “highest tolerated dose with clinical benefit,” shaped by center experience and patient phenotype.</w:t>
      </w:r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Secondary literature that tabulates “typical dose ranges” can be helpful for contextualizing outpatient expectations but should not override label-based safety and individualized response.</w:t>
      </w:r>
      <w:r>
        <w:t xml:space="preserve"> </w:t>
      </w:r>
      <w:hyperlink r:id="rId76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Sildenafil dosing remains a</w:t>
      </w:r>
      <w:r>
        <w:t xml:space="preserve"> </w:t>
      </w:r>
      <w:r>
        <w:rPr>
          <w:b/>
          <w:bCs/>
        </w:rPr>
        <w:t xml:space="preserve">common area of divergence</w:t>
      </w:r>
      <w:r>
        <w:t xml:space="preserve">: many clinicians use the widely cited 20 mg TID regimen as a default, while labeling language permits titration up to higher doses (e.g., 80 mg TID) based on symptoms and tolerability—an “allowed but not always used” practice pattern.</w:t>
      </w:r>
      <w:r>
        <w:t xml:space="preserve"> </w:t>
      </w:r>
      <w:hyperlink r:id="rId4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CTEPH anticoagulant selection remains unsettled. Guidelines consistently recommend</w:t>
      </w:r>
      <w:r>
        <w:t xml:space="preserve"> </w:t>
      </w:r>
      <w:r>
        <w:rPr>
          <w:b/>
          <w:bCs/>
        </w:rPr>
        <w:t xml:space="preserve">lifelong anticoagulation</w:t>
      </w:r>
      <w:r>
        <w:t xml:space="preserve">, but agent selection (VKA vs DOAC) varies globally; observational registries and meta-analyses suggest broadly comparable outcomes with differences in bleeding and recurrence signals still debated and prone to confounding.</w:t>
      </w:r>
      <w:r>
        <w:t xml:space="preserve"> </w:t>
      </w:r>
      <w:hyperlink r:id="rId26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Sotatercept is increasingly integrated into PAH care, but “when to start” (earlier vs add-on after foundational therapy) is still evolving in expert algorithms and real-world adoption; decision tools should represent sotatercept as a modular option with label-mandated hematologic monitoring and dose-hold rules.</w:t>
      </w:r>
      <w:r>
        <w:t xml:space="preserve"> </w:t>
      </w:r>
      <w:hyperlink r:id="rId77">
        <w:r>
          <w:rPr>
            <w:rStyle w:val="Hyperlink"/>
          </w:rPr>
          <w:t xml:space="preserve">[77]</w:t>
        </w:r>
      </w:hyperlink>
    </w:p>
    <w:bookmarkEnd w:id="78"/>
    <w:bookmarkStart w:id="79" w:name="X9df2fcc26f5f8fd9369b810a9591bf213e42dd3"/>
    <w:p>
      <w:pPr>
        <w:pStyle w:val="Heading2"/>
      </w:pPr>
      <w:r>
        <w:t xml:space="preserve">Prioritized primary references and label links</w:t>
      </w:r>
    </w:p>
    <w:p>
      <w:pPr>
        <w:pStyle w:val="SourceCode"/>
      </w:pPr>
      <w:r>
        <w:rPr>
          <w:rStyle w:val="VerbatimChar"/>
        </w:rPr>
        <w:t xml:space="preserve">Core guidelines / consensus</w:t>
      </w:r>
      <w:r>
        <w:br/>
      </w:r>
      <w:r>
        <w:rPr>
          <w:rStyle w:val="VerbatimChar"/>
        </w:rPr>
        <w:t xml:space="preserve">- ESC/ERS 2022 PH Guideline (European Heart Journal, OUP):</w:t>
      </w:r>
      <w:r>
        <w:br/>
      </w:r>
      <w:r>
        <w:rPr>
          <w:rStyle w:val="VerbatimChar"/>
        </w:rPr>
        <w:t xml:space="preserve">  https://academic.oup.com/eurheartj/article/43/38/3618/6673929</w:t>
      </w:r>
      <w:r>
        <w:br/>
      </w:r>
      <w:r>
        <w:rPr>
          <w:rStyle w:val="VerbatimChar"/>
        </w:rPr>
        <w:t xml:space="preserve">- ESC/ERS 2022 PH Guideline (full PDF mirror):</w:t>
      </w:r>
      <w:r>
        <w:br/>
      </w:r>
      <w:r>
        <w:rPr>
          <w:rStyle w:val="VerbatimChar"/>
        </w:rPr>
        <w:t xml:space="preserve">  https://www.phaeurope.org/wp-content/uploads/phae-esc-ers-clinical-guidelines-2022.pdf</w:t>
      </w:r>
      <w:r>
        <w:br/>
      </w:r>
      <w:r>
        <w:rPr>
          <w:rStyle w:val="VerbatimChar"/>
        </w:rPr>
        <w:t xml:space="preserve">- CHEST 2019 PAH therapy guideline (full text):</w:t>
      </w:r>
      <w:r>
        <w:br/>
      </w:r>
      <w:r>
        <w:rPr>
          <w:rStyle w:val="VerbatimChar"/>
        </w:rPr>
        <w:t xml:space="preserve">  https://journal.chestnet.org/article/S0012-3692(19)30002-9/fulltext</w:t>
      </w:r>
      <w:r>
        <w:br/>
      </w:r>
      <w:r>
        <w:rPr>
          <w:rStyle w:val="VerbatimChar"/>
        </w:rPr>
        <w:t xml:space="preserve">- WSPH 2024 PAH treatment algorithm (PMC full text):</w:t>
      </w:r>
      <w:r>
        <w:br/>
      </w:r>
      <w:r>
        <w:rPr>
          <w:rStyle w:val="VerbatimChar"/>
        </w:rPr>
        <w:t xml:space="preserve">  https://pmc.ncbi.nlm.nih.gov/articles/PMC11525349/</w:t>
      </w:r>
      <w:r>
        <w:br/>
      </w:r>
      <w:r>
        <w:br/>
      </w:r>
      <w:r>
        <w:rPr>
          <w:rStyle w:val="VerbatimChar"/>
        </w:rPr>
        <w:t xml:space="preserve">Adult PH drug labels (primarily U.S. prescribing information)</w:t>
      </w:r>
      <w:r>
        <w:br/>
      </w:r>
      <w:r>
        <w:rPr>
          <w:rStyle w:val="VerbatimChar"/>
        </w:rPr>
        <w:t xml:space="preserve">- Bosentan (Tracleer) FDA label (example):</w:t>
      </w:r>
      <w:r>
        <w:br/>
      </w:r>
      <w:r>
        <w:rPr>
          <w:rStyle w:val="VerbatimChar"/>
        </w:rPr>
        <w:t xml:space="preserve">  https://www.accessdata.fda.gov/drugsatfda_docs/label/2017/209279s000lbl.pdf</w:t>
      </w:r>
      <w:r>
        <w:br/>
      </w:r>
      <w:r>
        <w:rPr>
          <w:rStyle w:val="VerbatimChar"/>
        </w:rPr>
        <w:t xml:space="preserve">- Bosentan (Tracleer) DailyMed landing page:</w:t>
      </w:r>
      <w:r>
        <w:br/>
      </w:r>
      <w:r>
        <w:rPr>
          <w:rStyle w:val="VerbatimChar"/>
        </w:rPr>
        <w:t xml:space="preserve">  https://dailymed.nlm.nih.gov/dailymed/lookup.cfm?setid=749e42fb-2fe0-45dd-9268-b43bb3f4081c</w:t>
      </w:r>
      <w:r>
        <w:br/>
      </w:r>
      <w:r>
        <w:br/>
      </w:r>
      <w:r>
        <w:rPr>
          <w:rStyle w:val="VerbatimChar"/>
        </w:rPr>
        <w:t xml:space="preserve">- Ambrisentan (Letairis) FDA label (example):</w:t>
      </w:r>
      <w:r>
        <w:br/>
      </w:r>
      <w:r>
        <w:rPr>
          <w:rStyle w:val="VerbatimChar"/>
        </w:rPr>
        <w:t xml:space="preserve">  https://www.accessdata.fda.gov/drugsatfda_docs/label/2013/022081s019lbl.pdf</w:t>
      </w:r>
      <w:r>
        <w:br/>
      </w:r>
      <w:r>
        <w:rPr>
          <w:rStyle w:val="VerbatimChar"/>
        </w:rPr>
        <w:t xml:space="preserve">- Ambrisentan (Letairis) DailyMed landing page:</w:t>
      </w:r>
      <w:r>
        <w:br/>
      </w:r>
      <w:r>
        <w:rPr>
          <w:rStyle w:val="VerbatimChar"/>
        </w:rPr>
        <w:t xml:space="preserve">  https://dailymed.nlm.nih.gov/dailymed/lookup.cfm?setid=725d4e73-6c83-477a-adc6-0ae4a133a844</w:t>
      </w:r>
      <w:r>
        <w:br/>
      </w:r>
      <w:r>
        <w:br/>
      </w:r>
      <w:r>
        <w:rPr>
          <w:rStyle w:val="VerbatimChar"/>
        </w:rPr>
        <w:t xml:space="preserve">- Macitentan (Opsumit) DailyMed PDF:</w:t>
      </w:r>
      <w:r>
        <w:br/>
      </w:r>
      <w:r>
        <w:rPr>
          <w:rStyle w:val="VerbatimChar"/>
        </w:rPr>
        <w:t xml:space="preserve">  https://dailymed.nlm.nih.gov/dailymed/downloadpdffile.cfm?setId=1e484a50-55db-4b85-8c57-6cd1b0353abd</w:t>
      </w:r>
      <w:r>
        <w:br/>
      </w:r>
      <w:r>
        <w:br/>
      </w:r>
      <w:r>
        <w:rPr>
          <w:rStyle w:val="VerbatimChar"/>
        </w:rPr>
        <w:t xml:space="preserve">- Sildenafil (Revatio) FDA label (2024 example):</w:t>
      </w:r>
      <w:r>
        <w:br/>
      </w:r>
      <w:r>
        <w:rPr>
          <w:rStyle w:val="VerbatimChar"/>
        </w:rPr>
        <w:t xml:space="preserve">  https://www.accessdata.fda.gov/drugsatfda_docs/label/2024/021845Orig1s028lbl.pdf</w:t>
      </w:r>
      <w:r>
        <w:br/>
      </w:r>
      <w:r>
        <w:br/>
      </w:r>
      <w:r>
        <w:rPr>
          <w:rStyle w:val="VerbatimChar"/>
        </w:rPr>
        <w:t xml:space="preserve">- Tadalafil (Adcirca) U.S. PI (example):</w:t>
      </w:r>
      <w:r>
        <w:br/>
      </w:r>
      <w:r>
        <w:rPr>
          <w:rStyle w:val="VerbatimChar"/>
        </w:rPr>
        <w:t xml:space="preserve">  https://pi.lilly.com/us/adcirca-pi.pdf</w:t>
      </w:r>
      <w:r>
        <w:br/>
      </w:r>
      <w:r>
        <w:rPr>
          <w:rStyle w:val="VerbatimChar"/>
        </w:rPr>
        <w:t xml:space="preserve">- Tadalafil (Adcirca) DailyMed PDF:</w:t>
      </w:r>
      <w:r>
        <w:br/>
      </w:r>
      <w:r>
        <w:rPr>
          <w:rStyle w:val="VerbatimChar"/>
        </w:rPr>
        <w:t xml:space="preserve">  https://dailymed.nlm.nih.gov/dailymed/getFile.cfm?setid=ff61b237-be8e-461b-8114-78c52a8ad0ae&amp;type=pdf</w:t>
      </w:r>
      <w:r>
        <w:br/>
      </w:r>
      <w:r>
        <w:br/>
      </w:r>
      <w:r>
        <w:rPr>
          <w:rStyle w:val="VerbatimChar"/>
        </w:rPr>
        <w:t xml:space="preserve">- Riociguat (Adempas) FDA label (example):</w:t>
      </w:r>
      <w:r>
        <w:br/>
      </w:r>
      <w:r>
        <w:rPr>
          <w:rStyle w:val="VerbatimChar"/>
        </w:rPr>
        <w:t xml:space="preserve">  https://www.accessdata.fda.gov/drugsatfda_docs/label/2017/204819s006lbl.pdf</w:t>
      </w:r>
      <w:r>
        <w:br/>
      </w:r>
      <w:r>
        <w:rPr>
          <w:rStyle w:val="VerbatimChar"/>
        </w:rPr>
        <w:t xml:space="preserve">- Riociguat (Adempas) DailyMed landing page:</w:t>
      </w:r>
      <w:r>
        <w:br/>
      </w:r>
      <w:r>
        <w:rPr>
          <w:rStyle w:val="VerbatimChar"/>
        </w:rPr>
        <w:t xml:space="preserve">  https://dailymed.nlm.nih.gov/dailymed/drugInfo.cfm?setid=7b57509a-3d5d-41d4-8fed-1471e26372a3</w:t>
      </w:r>
      <w:r>
        <w:br/>
      </w:r>
      <w:r>
        <w:br/>
      </w:r>
      <w:r>
        <w:rPr>
          <w:rStyle w:val="VerbatimChar"/>
        </w:rPr>
        <w:t xml:space="preserve">- Epoprostenol (Flolan) DailyMed landing page:</w:t>
      </w:r>
      <w:r>
        <w:br/>
      </w:r>
      <w:r>
        <w:rPr>
          <w:rStyle w:val="VerbatimChar"/>
        </w:rPr>
        <w:t xml:space="preserve">  https://dailymed.nlm.nih.gov/dailymed/lookup.cfm?setid=8e4b636e-ee9c-4111-779d-28c8369d283b</w:t>
      </w:r>
      <w:r>
        <w:br/>
      </w:r>
      <w:r>
        <w:rPr>
          <w:rStyle w:val="VerbatimChar"/>
        </w:rPr>
        <w:t xml:space="preserve">- Epoprostenol (Veletri) DailyMed landing page:</w:t>
      </w:r>
      <w:r>
        <w:br/>
      </w:r>
      <w:r>
        <w:rPr>
          <w:rStyle w:val="VerbatimChar"/>
        </w:rPr>
        <w:t xml:space="preserve">  https://dailymed.nlm.nih.gov/dailymed/drugInfo.cfm?setid=df502787-46ec-4dd1-a2c0-be90f6d95a5d</w:t>
      </w:r>
      <w:r>
        <w:br/>
      </w:r>
      <w:r>
        <w:br/>
      </w:r>
      <w:r>
        <w:rPr>
          <w:rStyle w:val="VerbatimChar"/>
        </w:rPr>
        <w:t xml:space="preserve">- Treprostinil injection (Remodulin) DailyMed:</w:t>
      </w:r>
      <w:r>
        <w:br/>
      </w:r>
      <w:r>
        <w:rPr>
          <w:rStyle w:val="VerbatimChar"/>
        </w:rPr>
        <w:t xml:space="preserve">  https://dailymed.nlm.nih.gov/dailymed/drugInfo.cfm?setid=6c80bb38-e8db-4138-9f0d-dbbf9c673185</w:t>
      </w:r>
      <w:r>
        <w:br/>
      </w:r>
      <w:r>
        <w:rPr>
          <w:rStyle w:val="VerbatimChar"/>
        </w:rPr>
        <w:t xml:space="preserve">- Oral treprostinil ER (Orenitram) DailyMed:</w:t>
      </w:r>
      <w:r>
        <w:br/>
      </w:r>
      <w:r>
        <w:rPr>
          <w:rStyle w:val="VerbatimChar"/>
        </w:rPr>
        <w:t xml:space="preserve">  https://dailymed.nlm.nih.gov/dailymed/drugInfo.cfm?setid=8ed2003a-c801-411e-831e-d06079bb0d7c</w:t>
      </w:r>
      <w:r>
        <w:br/>
      </w:r>
      <w:r>
        <w:br/>
      </w:r>
      <w:r>
        <w:rPr>
          <w:rStyle w:val="VerbatimChar"/>
        </w:rPr>
        <w:t xml:space="preserve">- Inhaled treprostinil (Tyvaso) DailyMed:</w:t>
      </w:r>
      <w:r>
        <w:br/>
      </w:r>
      <w:r>
        <w:rPr>
          <w:rStyle w:val="VerbatimChar"/>
        </w:rPr>
        <w:t xml:space="preserve">  https://dailymed.nlm.nih.gov/dailymed/lookup.cfm?setid=cbc31ab1-a80f-4b50-a3b1-39910b0fb609</w:t>
      </w:r>
      <w:r>
        <w:br/>
      </w:r>
      <w:r>
        <w:rPr>
          <w:rStyle w:val="VerbatimChar"/>
        </w:rPr>
        <w:t xml:space="preserve">- Treprostinil DPI (Tyvaso DPI) DailyMed:</w:t>
      </w:r>
      <w:r>
        <w:br/>
      </w:r>
      <w:r>
        <w:rPr>
          <w:rStyle w:val="VerbatimChar"/>
        </w:rPr>
        <w:t xml:space="preserve">  https://dailymed.nlm.nih.gov/dailymed/lookup.cfm?setid=ddc3d400-bcb3-4b09-aae2-0768b10a5b0f</w:t>
      </w:r>
      <w:r>
        <w:br/>
      </w:r>
      <w:r>
        <w:br/>
      </w:r>
      <w:r>
        <w:rPr>
          <w:rStyle w:val="VerbatimChar"/>
        </w:rPr>
        <w:t xml:space="preserve">- Iloprost inhaled (Ventavis) U.S. PI:</w:t>
      </w:r>
      <w:r>
        <w:br/>
      </w:r>
      <w:r>
        <w:rPr>
          <w:rStyle w:val="VerbatimChar"/>
        </w:rPr>
        <w:t xml:space="preserve">  https://www.jnjlabels.com/package-insert/product-monograph/prescribing-information/VENTAVIS-pi.pdf</w:t>
      </w:r>
      <w:r>
        <w:br/>
      </w:r>
      <w:r>
        <w:br/>
      </w:r>
      <w:r>
        <w:rPr>
          <w:rStyle w:val="VerbatimChar"/>
        </w:rPr>
        <w:t xml:space="preserve">- Selexipag (Uptravi) DailyMed landing page:</w:t>
      </w:r>
      <w:r>
        <w:br/>
      </w:r>
      <w:r>
        <w:rPr>
          <w:rStyle w:val="VerbatimChar"/>
        </w:rPr>
        <w:t xml:space="preserve">  https://dailymed.nlm.nih.gov/dailymed/drugInfo.cfm?setid=a7a23b87-f892-4e2c-8e2e-ebf841220f90</w:t>
      </w:r>
      <w:r>
        <w:br/>
      </w:r>
      <w:r>
        <w:br/>
      </w:r>
      <w:r>
        <w:rPr>
          <w:rStyle w:val="VerbatimChar"/>
        </w:rPr>
        <w:t xml:space="preserve">- Sotatercept (Winrevair) FDA label:</w:t>
      </w:r>
      <w:r>
        <w:br/>
      </w:r>
      <w:r>
        <w:rPr>
          <w:rStyle w:val="VerbatimChar"/>
        </w:rPr>
        <w:t xml:space="preserve">  https://www.accessdata.fda.gov/drugsatfda_docs/label/2024/761363s000lbl.pdf</w:t>
      </w:r>
      <w:r>
        <w:br/>
      </w:r>
      <w:r>
        <w:rPr>
          <w:rStyle w:val="VerbatimChar"/>
        </w:rPr>
        <w:t xml:space="preserve">- Sotatercept (Winrevair) DailyMed landing page:</w:t>
      </w:r>
      <w:r>
        <w:br/>
      </w:r>
      <w:r>
        <w:rPr>
          <w:rStyle w:val="VerbatimChar"/>
        </w:rPr>
        <w:t xml:space="preserve">  https://dailymed.nlm.nih.gov/dailymed/lookup.cfm?setid=21693ee2-cd23-4137-ac67-066bb3a4a9b7</w:t>
      </w:r>
      <w:r>
        <w:br/>
      </w:r>
      <w:r>
        <w:rPr>
          <w:rStyle w:val="VerbatimChar"/>
        </w:rPr>
        <w:t xml:space="preserve">- Sotatercept (Winrevair) EU documentation example:</w:t>
      </w:r>
      <w:r>
        <w:br/>
      </w:r>
      <w:r>
        <w:rPr>
          <w:rStyle w:val="VerbatimChar"/>
        </w:rPr>
        <w:t xml:space="preserve">  https://ec.europa.eu/health/documents/community-register/2024/20240822163329/anx_163329_en.pdf</w:t>
      </w:r>
    </w:p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2022 ESC/ERS Guidelines for the diagnosis and treatment of ...</w:t>
      </w:r>
    </w:p>
    <w:p>
      <w:pPr>
        <w:pStyle w:val="BodyText"/>
      </w:pPr>
      <w:hyperlink r:id="rId21">
        <w:r>
          <w:rPr>
            <w:rStyle w:val="Hyperlink"/>
          </w:rPr>
          <w:t xml:space="preserve">https://academic.oup.com/eurheartj/article/43/38/3618/6673929?utm_source=chatgpt.com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https://www.accessdata.fda.gov/drugsatfda_docs/label/2017/209279s000lbl.pdf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https://www.accessdata.fda.gov/drugsatfda_docs/label/2017/209279s000lbl.pdf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https://www.accessdata.fda.gov/drugsatfda_docs/label/2017/204819s006lbl.pdf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https://www.accessdata.fda.gov/drugsatfda_docs/label/2017/204819s006lbl.pdf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https://dailymed.nlm.nih.gov/dailymed/lookup.cfm?setid=749e42fb-2fe0-45dd-9268-b43bb3f4081c</w:t>
      </w:r>
    </w:p>
    <w:p>
      <w:pPr>
        <w:pStyle w:val="BodyText"/>
      </w:pPr>
      <w:hyperlink r:id="rId24">
        <w:r>
          <w:rPr>
            <w:rStyle w:val="Hyperlink"/>
          </w:rPr>
          <w:t xml:space="preserve">https://dailymed.nlm.nih.gov/dailymed/lookup.cfm?setid=749e42fb-2fe0-45dd-9268-b43bb3f4081c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https://dailymed.nlm.nih.gov/dailymed/lookup.cfm?setid=8e4b636e-ee9c-4111-779d-28c8369d283b</w:t>
      </w:r>
    </w:p>
    <w:p>
      <w:pPr>
        <w:pStyle w:val="BodyText"/>
      </w:pPr>
      <w:hyperlink r:id="rId25">
        <w:r>
          <w:rPr>
            <w:rStyle w:val="Hyperlink"/>
          </w:rPr>
          <w:t xml:space="preserve">https://dailymed.nlm.nih.gov/dailymed/lookup.cfm?setid=8e4b636e-ee9c-4111-779d-28c8369d283b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[69]</w:t>
        </w:r>
      </w:hyperlink>
      <w:r>
        <w:t xml:space="preserve"> </w:t>
      </w:r>
      <w:hyperlink r:id="rId26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https://publications.ersnet.org/content/erj/61/1/2200879</w:t>
      </w:r>
    </w:p>
    <w:p>
      <w:pPr>
        <w:pStyle w:val="BodyText"/>
      </w:pPr>
      <w:hyperlink r:id="rId26">
        <w:r>
          <w:rPr>
            <w:rStyle w:val="Hyperlink"/>
          </w:rPr>
          <w:t xml:space="preserve">https://publications.ersnet.org/content/erj/61/1/2200879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WINREVAIR (sotatercept-csrk) for injection - accessdata.fda.gov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https://www.accessdata.fda.gov/drugsatfda_docs/label/2024/761363s000lbl.pdf?utm_source=chatgpt.com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https://www.accessdata.fda.gov/drugsatfda_docs/label/2022/022387s020lbl.pdf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https://www.accessdata.fda.gov/drugsatfda_docs/label/2022/022387s020lbl.pdf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https://dailymed.nlm.nih.gov/dailymed/drugInfo.cfm?setid=df502787-46ec-4dd1-a2c0-be90f6d95a5d</w:t>
      </w:r>
    </w:p>
    <w:p>
      <w:pPr>
        <w:pStyle w:val="BodyText"/>
      </w:pPr>
      <w:hyperlink r:id="rId30">
        <w:r>
          <w:rPr>
            <w:rStyle w:val="Hyperlink"/>
          </w:rPr>
          <w:t xml:space="preserve">https://dailymed.nlm.nih.gov/dailymed/drugInfo.cfm?setid=df502787-46ec-4dd1-a2c0-be90f6d95a5d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[42]</w:t>
        </w:r>
      </w:hyperlink>
      <w:r>
        <w:t xml:space="preserve"> </w:t>
      </w:r>
      <w:hyperlink r:id="rId31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https://dailymed.nlm.nih.gov/dailymed/drugInfo.cfm?setid=7b57509a-3d5d-41d4-8fed-1471e26372a3</w:t>
      </w:r>
    </w:p>
    <w:p>
      <w:pPr>
        <w:pStyle w:val="BodyText"/>
      </w:pPr>
      <w:hyperlink r:id="rId31">
        <w:r>
          <w:rPr>
            <w:rStyle w:val="Hyperlink"/>
          </w:rPr>
          <w:t xml:space="preserve">https://dailymed.nlm.nih.gov/dailymed/drugInfo.cfm?setid=7b57509a-3d5d-41d4-8fed-1471e26372a3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https://dailymed.nlm.nih.gov/dailymed/lookup.cfm?setid=cbc31ab1-a80f-4b50-a3b1-39910b0fb609</w:t>
      </w:r>
    </w:p>
    <w:p>
      <w:pPr>
        <w:pStyle w:val="BodyText"/>
      </w:pPr>
      <w:hyperlink r:id="rId56">
        <w:r>
          <w:rPr>
            <w:rStyle w:val="Hyperlink"/>
          </w:rPr>
          <w:t xml:space="preserve">https://dailymed.nlm.nih.gov/dailymed/lookup.cfm?setid=cbc31ab1-a80f-4b50-a3b1-39910b0fb609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[18]</w:t>
        </w:r>
      </w:hyperlink>
      <w:r>
        <w:t xml:space="preserve"> </w:t>
      </w:r>
      <w:hyperlink r:id="rId58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https://dailymed.nlm.nih.gov/dailymed/lookup.cfm?setid=ddc3d400-bcb3-4b09-aae2-0768b10a5b0f</w:t>
      </w:r>
    </w:p>
    <w:p>
      <w:pPr>
        <w:pStyle w:val="BodyText"/>
      </w:pPr>
      <w:hyperlink r:id="rId58">
        <w:r>
          <w:rPr>
            <w:rStyle w:val="Hyperlink"/>
          </w:rPr>
          <w:t xml:space="preserve">https://dailymed.nlm.nih.gov/dailymed/lookup.cfm?setid=ddc3d400-bcb3-4b09-aae2-0768b10a5b0f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[19]</w:t>
        </w:r>
      </w:hyperlink>
      <w:r>
        <w:t xml:space="preserve"> </w:t>
      </w:r>
      <w:hyperlink r:id="rId62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https://www.jnjlabels.com/package-insert/product-monograph/prescribing-information/VENTAVIS-pi.pdf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https://www.jnjlabels.com/package-insert/product-monograph/prescribing-information/VENTAVIS-pi.pdf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https://dailymed.nlm.nih.gov/dailymed/medguide.cfm?setid=749e42fb-2fe0-45dd-9268-b43bb3f4081c</w:t>
      </w:r>
    </w:p>
    <w:p>
      <w:pPr>
        <w:pStyle w:val="BodyText"/>
      </w:pPr>
      <w:hyperlink r:id="rId34">
        <w:r>
          <w:rPr>
            <w:rStyle w:val="Hyperlink"/>
          </w:rPr>
          <w:t xml:space="preserve">https://dailymed.nlm.nih.gov/dailymed/medguide.cfm?setid=749e42fb-2fe0-45dd-9268-b43bb3f4081c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https://www.accessdata.fda.gov/drugsatfda_docs/label/2016/021290s033lbl.pdf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https://www.accessdata.fda.gov/drugsatfda_docs/label/2016/021290s033lbl.pdf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https://dailymed.nlm.nih.gov/dailymed/lookup.cfm?setid=725d4e73-6c83-477a-adc6-0ae4a133a844</w:t>
      </w:r>
    </w:p>
    <w:p>
      <w:pPr>
        <w:pStyle w:val="BodyText"/>
      </w:pPr>
      <w:hyperlink r:id="rId36">
        <w:r>
          <w:rPr>
            <w:rStyle w:val="Hyperlink"/>
          </w:rPr>
          <w:t xml:space="preserve">https://dailymed.nlm.nih.gov/dailymed/lookup.cfm?setid=725d4e73-6c83-477a-adc6-0ae4a133a844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https://www.accessdata.fda.gov/drugsatfda_docs/label/2009/022081s010lbl.pdf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https://www.accessdata.fda.gov/drugsatfda_docs/label/2009/022081s010lbl.pdf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https://dailymed.nlm.nih.gov/dailymed/drugInfo.cfm?setid=1e484a50-55db-4b85-8c57-6cd1b0353abd</w:t>
      </w:r>
    </w:p>
    <w:p>
      <w:pPr>
        <w:pStyle w:val="BodyText"/>
      </w:pPr>
      <w:hyperlink r:id="rId38">
        <w:r>
          <w:rPr>
            <w:rStyle w:val="Hyperlink"/>
          </w:rPr>
          <w:t xml:space="preserve">https://dailymed.nlm.nih.gov/dailymed/drugInfo.cfm?setid=1e484a50-55db-4b85-8c57-6cd1b0353abd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[30]</w:t>
        </w:r>
      </w:hyperlink>
      <w:r>
        <w:t xml:space="preserve"> </w:t>
      </w:r>
      <w:hyperlink r:id="rId3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https://dailymed.nlm.nih.gov/dailymed/downloadpdffile.cfm?setId=1e484a50-55db-4b85-8c57-6cd1b0353abd</w:t>
      </w:r>
    </w:p>
    <w:p>
      <w:pPr>
        <w:pStyle w:val="BodyText"/>
      </w:pPr>
      <w:hyperlink r:id="rId39">
        <w:r>
          <w:rPr>
            <w:rStyle w:val="Hyperlink"/>
          </w:rPr>
          <w:t xml:space="preserve">https://dailymed.nlm.nih.gov/dailymed/downloadpdffile.cfm?setId=1e484a50-55db-4b85-8c57-6cd1b0353abd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https://www.opsumithcp.com/dosing/dosing-and-administration/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https://www.opsumithcp.com/dosing/dosing-and-administration/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Sildenafil Tablets</w:t>
      </w:r>
    </w:p>
    <w:p>
      <w:pPr>
        <w:pStyle w:val="BodyText"/>
      </w:pPr>
      <w:hyperlink r:id="rId42">
        <w:r>
          <w:rPr>
            <w:rStyle w:val="Hyperlink"/>
          </w:rPr>
          <w:t xml:space="preserve">https://dailymed.nlm.nih.gov/dailymed/fda/fdaDrugXsl.cfm?setid=f925abbe-4977-00b0-e053-6294a90a6e53&amp;utm_source=chatgpt.com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revatio - accessdata.fda.gov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https://www.accessdata.fda.gov/drugsatfda_docs/label/2024/021845Orig1s028lbl.pdf?utm_source=chatgpt.com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[35]</w:t>
        </w:r>
      </w:hyperlink>
      <w:r>
        <w:t xml:space="preserve"> </w:t>
      </w:r>
      <w:hyperlink r:id="rId4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SILDENAFIL</w:t>
      </w:r>
    </w:p>
    <w:p>
      <w:pPr>
        <w:pStyle w:val="BodyText"/>
      </w:pPr>
      <w:hyperlink r:id="rId44">
        <w:r>
          <w:rPr>
            <w:rStyle w:val="Hyperlink"/>
          </w:rPr>
          <w:t xml:space="preserve">https://dailymed.nlm.nih.gov/dailymed/getFile.cfm?setid=486dcfc4-f07a-4a78-86f0-f1c5ae448dc1&amp;type=pdf&amp;utm_source=chatgpt.com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https://dailymed.nlm.nih.gov/dailymed/drugInfo.cfm?setid=ff61b237-be8e-461b-8114-78c52a8ad0ae</w:t>
      </w:r>
    </w:p>
    <w:p>
      <w:pPr>
        <w:pStyle w:val="BodyText"/>
      </w:pPr>
      <w:hyperlink r:id="rId45">
        <w:r>
          <w:rPr>
            <w:rStyle w:val="Hyperlink"/>
          </w:rPr>
          <w:t xml:space="preserve">https://dailymed.nlm.nih.gov/dailymed/drugInfo.cfm?setid=ff61b237-be8e-461b-8114-78c52a8ad0ae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This label may not be the latest approved by FDA. For current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https://www.accessdata.fda.gov/drugsatfda_docs/label/2020/022332Orig1s011lbl.pdf?utm_source=chatgpt.com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[40]</w:t>
        </w:r>
      </w:hyperlink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adcirca-pi.pdf</w:t>
      </w:r>
    </w:p>
    <w:p>
      <w:pPr>
        <w:pStyle w:val="BodyText"/>
      </w:pPr>
      <w:hyperlink r:id="rId47">
        <w:r>
          <w:rPr>
            <w:rStyle w:val="Hyperlink"/>
          </w:rPr>
          <w:t xml:space="preserve">https://pi.lilly.com/us/adcirca-pi.pdf?utm_source=chatgpt.com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https://dailymed.nlm.nih.gov/dailymed/medguide.cfm?setid=7b57509a-3d5d-41d4-8fed-1471e26372a3</w:t>
      </w:r>
    </w:p>
    <w:p>
      <w:pPr>
        <w:pStyle w:val="BodyText"/>
      </w:pPr>
      <w:hyperlink r:id="rId49">
        <w:r>
          <w:rPr>
            <w:rStyle w:val="Hyperlink"/>
          </w:rPr>
          <w:t xml:space="preserve">https://dailymed.nlm.nih.gov/dailymed/medguide.cfm?setid=7b57509a-3d5d-41d4-8fed-1471e26372a3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https://labeling.bayerhealthcare.com/html/products/pi/Adempas_MG.pdf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https://labeling.bayerhealthcare.com/html/products/pi/Adempas_MG.pdf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https://www.accessdata.fda.gov/drugsatfda_docs/label/2011/020444s018lbl.pdf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https://www.accessdata.fda.gov/drugsatfda_docs/label/2011/020444s018lbl.pdf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https://dailymed.nlm.nih.gov/dailymed/drugInfo.cfm?setid=6c80bb38-e8db-4138-9f0d-dbbf9c673185</w:t>
      </w:r>
    </w:p>
    <w:p>
      <w:pPr>
        <w:pStyle w:val="BodyText"/>
      </w:pPr>
      <w:hyperlink r:id="rId53">
        <w:r>
          <w:rPr>
            <w:rStyle w:val="Hyperlink"/>
          </w:rPr>
          <w:t xml:space="preserve">https://dailymed.nlm.nih.gov/dailymed/drugInfo.cfm?setid=6c80bb38-e8db-4138-9f0d-dbbf9c673185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[49]</w:t>
        </w:r>
      </w:hyperlink>
      <w:r>
        <w:t xml:space="preserve"> </w:t>
      </w:r>
      <w:hyperlink r:id="rId5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https://www.accessdata.fda.gov/drugsatfda_docs/label/2017/203649Orig1s000lbl.pdf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https://www.accessdata.fda.gov/drugsatfda_docs/label/2017/203649Orig1s000lbl.pdf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https://www.accessdata.fda.gov/drugsatfda_docs/label/2018/021272s026lbl.pdf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https://www.accessdata.fda.gov/drugsatfda_docs/label/2018/021272s026lbl.pdf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[52]</w:t>
        </w:r>
      </w:hyperlink>
      <w:r>
        <w:t xml:space="preserve"> </w:t>
      </w:r>
      <w:hyperlink r:id="rId57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https://www.accessdata.fda.gov/drugsatfda_docs/label/2022/214324s000lbl.pdf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https://www.accessdata.fda.gov/drugsatfda_docs/label/2022/214324s000lbl.pdf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https://dailymed.nlm.nih.gov/dailymed/drugInfo.cfm?setid=8ed2003a-c801-411e-831e-d06079bb0d7c</w:t>
      </w:r>
    </w:p>
    <w:p>
      <w:pPr>
        <w:pStyle w:val="BodyText"/>
      </w:pPr>
      <w:hyperlink r:id="rId59">
        <w:r>
          <w:rPr>
            <w:rStyle w:val="Hyperlink"/>
          </w:rPr>
          <w:t xml:space="preserve">https://dailymed.nlm.nih.gov/dailymed/drugInfo.cfm?setid=8ed2003a-c801-411e-831e-d06079bb0d7c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[57]</w:t>
        </w:r>
      </w:hyperlink>
      <w:r>
        <w:t xml:space="preserve"> </w:t>
      </w:r>
      <w:hyperlink r:id="rId6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https://www.accessdata.fda.gov/drugsatfda_docs/label/2014/203496s001lbl.pdf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https://www.accessdata.fda.gov/drugsatfda_docs/label/2014/203496s001lbl.pdf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https://www.accessdata.fda.gov/drugsatfda_docs/label/2016/203496s002lbl.pdf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https://www.accessdata.fda.gov/drugsatfda_docs/label/2016/203496s002lbl.pdf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https://www.accessdata.fda.gov/drugsatfda_docs/label/2008/021779s006lbl.pdf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https://www.accessdata.fda.gov/drugsatfda_docs/label/2008/021779s006lbl.pdf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https://dailymed.nlm.nih.gov/dailymed/drugInfo.cfm?setid=a7a23b87-f892-4e2c-8e2e-ebf841220f90</w:t>
      </w:r>
    </w:p>
    <w:p>
      <w:pPr>
        <w:pStyle w:val="BodyText"/>
      </w:pPr>
      <w:hyperlink r:id="rId64">
        <w:r>
          <w:rPr>
            <w:rStyle w:val="Hyperlink"/>
          </w:rPr>
          <w:t xml:space="preserve">https://dailymed.nlm.nih.gov/dailymed/drugInfo.cfm?setid=a7a23b87-f892-4e2c-8e2e-ebf841220f90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[63]</w:t>
        </w:r>
      </w:hyperlink>
      <w:r>
        <w:t xml:space="preserve"> </w:t>
      </w:r>
      <w:hyperlink r:id="rId6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https://www.uptravihcp.com/assets/pdf/uptravi-iv-ifu-reference-guide.pdf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https://www.uptravihcp.com/assets/pdf/uptravi-iv-ifu-reference-guide.pdf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https://www.accessdata.fda.gov/drugsatfda_docs/label/2019/207947s007lbl.pdf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https://www.accessdata.fda.gov/drugsatfda_docs/label/2019/207947s007lbl.pdf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Label: WINREVAIR- sotatercept-csrk kit - DailyMed</w:t>
      </w:r>
    </w:p>
    <w:p>
      <w:pPr>
        <w:pStyle w:val="BodyText"/>
      </w:pPr>
      <w:hyperlink r:id="rId68">
        <w:r>
          <w:rPr>
            <w:rStyle w:val="Hyperlink"/>
          </w:rPr>
          <w:t xml:space="preserve">https://dailymed.nlm.nih.gov/dailymed/lookup.cfm?setid=21693ee2-cd23-4137-ac67-066bb3a4a9b7&amp;utm_source=chatgpt.com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WINREVAIR, INN-sotatercept</w:t>
      </w:r>
    </w:p>
    <w:p>
      <w:pPr>
        <w:pStyle w:val="BodyText"/>
      </w:pPr>
      <w:hyperlink r:id="rId69">
        <w:r>
          <w:rPr>
            <w:rStyle w:val="Hyperlink"/>
          </w:rPr>
          <w:t xml:space="preserve">https://ec.europa.eu/health/documents/community-register/2024/20240822163329/anx_163329_en.pdf?utm_source=chatgpt.com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https://www.sciencedirect.com/science/article/abs/pii/S0049384823002141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https://www.sciencedirect.com/science/article/abs/pii/S0049384823002141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https://www.sciencedirect.com/science/article/pii/S1538783623002702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https://www.sciencedirect.com/science/article/pii/S1538783623002702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https://pmc.ncbi.nlm.nih.gov/articles/PMC9608103/</w:t>
      </w:r>
    </w:p>
    <w:p>
      <w:pPr>
        <w:pStyle w:val="BodyText"/>
      </w:pPr>
      <w:hyperlink r:id="rId76">
        <w:r>
          <w:rPr>
            <w:rStyle w:val="Hyperlink"/>
          </w:rPr>
          <w:t xml:space="preserve">https://pmc.ncbi.nlm.nih.gov/articles/PMC9608103/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Treatment algorithm for pulmonary arterial hypertension - PMC</w:t>
      </w:r>
    </w:p>
    <w:p>
      <w:pPr>
        <w:pStyle w:val="BodyText"/>
      </w:pPr>
      <w:hyperlink r:id="rId77">
        <w:r>
          <w:rPr>
            <w:rStyle w:val="Hyperlink"/>
          </w:rPr>
          <w:t xml:space="preserve">https://pmc.ncbi.nlm.nih.gov/articles/PMC11525349/?utm_source=chatgpt.com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cademic.oup.com/eurheartj/article/43/38/3618/6673929?utm_source=chatgpt.com" TargetMode="External" /><Relationship Type="http://schemas.openxmlformats.org/officeDocument/2006/relationships/hyperlink" Id="rId39" Target="https://dailymed.nlm.nih.gov/dailymed/downloadpdffile.cfm?setId=1e484a50-55db-4b85-8c57-6cd1b0353abd" TargetMode="External" /><Relationship Type="http://schemas.openxmlformats.org/officeDocument/2006/relationships/hyperlink" Id="rId38" Target="https://dailymed.nlm.nih.gov/dailymed/drugInfo.cfm?setid=1e484a50-55db-4b85-8c57-6cd1b0353abd" TargetMode="External" /><Relationship Type="http://schemas.openxmlformats.org/officeDocument/2006/relationships/hyperlink" Id="rId53" Target="https://dailymed.nlm.nih.gov/dailymed/drugInfo.cfm?setid=6c80bb38-e8db-4138-9f0d-dbbf9c673185" TargetMode="External" /><Relationship Type="http://schemas.openxmlformats.org/officeDocument/2006/relationships/hyperlink" Id="rId31" Target="https://dailymed.nlm.nih.gov/dailymed/drugInfo.cfm?setid=7b57509a-3d5d-41d4-8fed-1471e26372a3" TargetMode="External" /><Relationship Type="http://schemas.openxmlformats.org/officeDocument/2006/relationships/hyperlink" Id="rId59" Target="https://dailymed.nlm.nih.gov/dailymed/drugInfo.cfm?setid=8ed2003a-c801-411e-831e-d06079bb0d7c" TargetMode="External" /><Relationship Type="http://schemas.openxmlformats.org/officeDocument/2006/relationships/hyperlink" Id="rId64" Target="https://dailymed.nlm.nih.gov/dailymed/drugInfo.cfm?setid=a7a23b87-f892-4e2c-8e2e-ebf841220f90" TargetMode="External" /><Relationship Type="http://schemas.openxmlformats.org/officeDocument/2006/relationships/hyperlink" Id="rId30" Target="https://dailymed.nlm.nih.gov/dailymed/drugInfo.cfm?setid=df502787-46ec-4dd1-a2c0-be90f6d95a5d" TargetMode="External" /><Relationship Type="http://schemas.openxmlformats.org/officeDocument/2006/relationships/hyperlink" Id="rId45" Target="https://dailymed.nlm.nih.gov/dailymed/drugInfo.cfm?setid=ff61b237-be8e-461b-8114-78c52a8ad0ae" TargetMode="External" /><Relationship Type="http://schemas.openxmlformats.org/officeDocument/2006/relationships/hyperlink" Id="rId42" Target="https://dailymed.nlm.nih.gov/dailymed/fda/fdaDrugXsl.cfm?setid=f925abbe-4977-00b0-e053-6294a90a6e53&amp;utm_source=chatgpt.com" TargetMode="External" /><Relationship Type="http://schemas.openxmlformats.org/officeDocument/2006/relationships/hyperlink" Id="rId44" Target="https://dailymed.nlm.nih.gov/dailymed/getFile.cfm?setid=486dcfc4-f07a-4a78-86f0-f1c5ae448dc1&amp;type=pdf&amp;utm_source=chatgpt.com" TargetMode="External" /><Relationship Type="http://schemas.openxmlformats.org/officeDocument/2006/relationships/hyperlink" Id="rId68" Target="https://dailymed.nlm.nih.gov/dailymed/lookup.cfm?setid=21693ee2-cd23-4137-ac67-066bb3a4a9b7&amp;utm_source=chatgpt.com" TargetMode="External" /><Relationship Type="http://schemas.openxmlformats.org/officeDocument/2006/relationships/hyperlink" Id="rId36" Target="https://dailymed.nlm.nih.gov/dailymed/lookup.cfm?setid=725d4e73-6c83-477a-adc6-0ae4a133a844" TargetMode="External" /><Relationship Type="http://schemas.openxmlformats.org/officeDocument/2006/relationships/hyperlink" Id="rId24" Target="https://dailymed.nlm.nih.gov/dailymed/lookup.cfm?setid=749e42fb-2fe0-45dd-9268-b43bb3f4081c" TargetMode="External" /><Relationship Type="http://schemas.openxmlformats.org/officeDocument/2006/relationships/hyperlink" Id="rId25" Target="https://dailymed.nlm.nih.gov/dailymed/lookup.cfm?setid=8e4b636e-ee9c-4111-779d-28c8369d283b" TargetMode="External" /><Relationship Type="http://schemas.openxmlformats.org/officeDocument/2006/relationships/hyperlink" Id="rId56" Target="https://dailymed.nlm.nih.gov/dailymed/lookup.cfm?setid=cbc31ab1-a80f-4b50-a3b1-39910b0fb609" TargetMode="External" /><Relationship Type="http://schemas.openxmlformats.org/officeDocument/2006/relationships/hyperlink" Id="rId58" Target="https://dailymed.nlm.nih.gov/dailymed/lookup.cfm?setid=ddc3d400-bcb3-4b09-aae2-0768b10a5b0f" TargetMode="External" /><Relationship Type="http://schemas.openxmlformats.org/officeDocument/2006/relationships/hyperlink" Id="rId34" Target="https://dailymed.nlm.nih.gov/dailymed/medguide.cfm?setid=749e42fb-2fe0-45dd-9268-b43bb3f4081c" TargetMode="External" /><Relationship Type="http://schemas.openxmlformats.org/officeDocument/2006/relationships/hyperlink" Id="rId49" Target="https://dailymed.nlm.nih.gov/dailymed/medguide.cfm?setid=7b57509a-3d5d-41d4-8fed-1471e26372a3" TargetMode="External" /><Relationship Type="http://schemas.openxmlformats.org/officeDocument/2006/relationships/hyperlink" Id="rId69" Target="https://ec.europa.eu/health/documents/community-register/2024/20240822163329/anx_163329_en.pdf?utm_source=chatgpt.com" TargetMode="External" /><Relationship Type="http://schemas.openxmlformats.org/officeDocument/2006/relationships/hyperlink" Id="rId50" Target="https://labeling.bayerhealthcare.com/html/products/pi/Adempas_MG.pdf" TargetMode="External" /><Relationship Type="http://schemas.openxmlformats.org/officeDocument/2006/relationships/hyperlink" Id="rId47" Target="https://pi.lilly.com/us/adcirca-pi.pdf?utm_source=chatgpt.com" TargetMode="External" /><Relationship Type="http://schemas.openxmlformats.org/officeDocument/2006/relationships/hyperlink" Id="rId77" Target="https://pmc.ncbi.nlm.nih.gov/articles/PMC11525349/?utm_source=chatgpt.com" TargetMode="External" /><Relationship Type="http://schemas.openxmlformats.org/officeDocument/2006/relationships/hyperlink" Id="rId76" Target="https://pmc.ncbi.nlm.nih.gov/articles/PMC9608103/" TargetMode="External" /><Relationship Type="http://schemas.openxmlformats.org/officeDocument/2006/relationships/hyperlink" Id="rId26" Target="https://publications.ersnet.org/content/erj/61/1/2200879" TargetMode="External" /><Relationship Type="http://schemas.openxmlformats.org/officeDocument/2006/relationships/hyperlink" Id="rId63" Target="https://www.accessdata.fda.gov/drugsatfda_docs/label/2008/021779s006lbl.pdf" TargetMode="External" /><Relationship Type="http://schemas.openxmlformats.org/officeDocument/2006/relationships/hyperlink" Id="rId37" Target="https://www.accessdata.fda.gov/drugsatfda_docs/label/2009/022081s010lbl.pdf" TargetMode="External" /><Relationship Type="http://schemas.openxmlformats.org/officeDocument/2006/relationships/hyperlink" Id="rId52" Target="https://www.accessdata.fda.gov/drugsatfda_docs/label/2011/020444s018lbl.pdf" TargetMode="External" /><Relationship Type="http://schemas.openxmlformats.org/officeDocument/2006/relationships/hyperlink" Id="rId60" Target="https://www.accessdata.fda.gov/drugsatfda_docs/label/2014/203496s001lbl.pdf" TargetMode="External" /><Relationship Type="http://schemas.openxmlformats.org/officeDocument/2006/relationships/hyperlink" Id="rId35" Target="https://www.accessdata.fda.gov/drugsatfda_docs/label/2016/021290s033lbl.pdf" TargetMode="External" /><Relationship Type="http://schemas.openxmlformats.org/officeDocument/2006/relationships/hyperlink" Id="rId61" Target="https://www.accessdata.fda.gov/drugsatfda_docs/label/2016/203496s002lbl.pdf" TargetMode="External" /><Relationship Type="http://schemas.openxmlformats.org/officeDocument/2006/relationships/hyperlink" Id="rId54" Target="https://www.accessdata.fda.gov/drugsatfda_docs/label/2017/203649Orig1s000lbl.pdf" TargetMode="External" /><Relationship Type="http://schemas.openxmlformats.org/officeDocument/2006/relationships/hyperlink" Id="rId23" Target="https://www.accessdata.fda.gov/drugsatfda_docs/label/2017/204819s006lbl.pdf" TargetMode="External" /><Relationship Type="http://schemas.openxmlformats.org/officeDocument/2006/relationships/hyperlink" Id="rId22" Target="https://www.accessdata.fda.gov/drugsatfda_docs/label/2017/209279s000lbl.pdf" TargetMode="External" /><Relationship Type="http://schemas.openxmlformats.org/officeDocument/2006/relationships/hyperlink" Id="rId55" Target="https://www.accessdata.fda.gov/drugsatfda_docs/label/2018/021272s026lbl.pdf" TargetMode="External" /><Relationship Type="http://schemas.openxmlformats.org/officeDocument/2006/relationships/hyperlink" Id="rId66" Target="https://www.accessdata.fda.gov/drugsatfda_docs/label/2019/207947s007lbl.pdf" TargetMode="External" /><Relationship Type="http://schemas.openxmlformats.org/officeDocument/2006/relationships/hyperlink" Id="rId46" Target="https://www.accessdata.fda.gov/drugsatfda_docs/label/2020/022332Orig1s011lbl.pdf?utm_source=chatgpt.com" TargetMode="External" /><Relationship Type="http://schemas.openxmlformats.org/officeDocument/2006/relationships/hyperlink" Id="rId29" Target="https://www.accessdata.fda.gov/drugsatfda_docs/label/2022/022387s020lbl.pdf" TargetMode="External" /><Relationship Type="http://schemas.openxmlformats.org/officeDocument/2006/relationships/hyperlink" Id="rId57" Target="https://www.accessdata.fda.gov/drugsatfda_docs/label/2022/214324s000lbl.pdf" TargetMode="External" /><Relationship Type="http://schemas.openxmlformats.org/officeDocument/2006/relationships/hyperlink" Id="rId43" Target="https://www.accessdata.fda.gov/drugsatfda_docs/label/2024/021845Orig1s028lbl.pdf?utm_source=chatgpt.com" TargetMode="External" /><Relationship Type="http://schemas.openxmlformats.org/officeDocument/2006/relationships/hyperlink" Id="rId27" Target="https://www.accessdata.fda.gov/drugsatfda_docs/label/2024/761363s000lbl.pdf?utm_source=chatgpt.com" TargetMode="External" /><Relationship Type="http://schemas.openxmlformats.org/officeDocument/2006/relationships/hyperlink" Id="rId62" Target="https://www.jnjlabels.com/package-insert/product-monograph/prescribing-information/VENTAVIS-pi.pdf" TargetMode="External" /><Relationship Type="http://schemas.openxmlformats.org/officeDocument/2006/relationships/hyperlink" Id="rId40" Target="https://www.opsumithcp.com/dosing/dosing-and-administration/" TargetMode="External" /><Relationship Type="http://schemas.openxmlformats.org/officeDocument/2006/relationships/hyperlink" Id="rId71" Target="https://www.sciencedirect.com/science/article/abs/pii/S0049384823002141" TargetMode="External" /><Relationship Type="http://schemas.openxmlformats.org/officeDocument/2006/relationships/hyperlink" Id="rId72" Target="https://www.sciencedirect.com/science/article/pii/S1538783623002702" TargetMode="External" /><Relationship Type="http://schemas.openxmlformats.org/officeDocument/2006/relationships/hyperlink" Id="rId65" Target="https://www.uptravihcp.com/assets/pdf/uptravi-iv-ifu-reference-gui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cademic.oup.com/eurheartj/article/43/38/3618/6673929?utm_source=chatgpt.com" TargetMode="External" /><Relationship Type="http://schemas.openxmlformats.org/officeDocument/2006/relationships/hyperlink" Id="rId39" Target="https://dailymed.nlm.nih.gov/dailymed/downloadpdffile.cfm?setId=1e484a50-55db-4b85-8c57-6cd1b0353abd" TargetMode="External" /><Relationship Type="http://schemas.openxmlformats.org/officeDocument/2006/relationships/hyperlink" Id="rId38" Target="https://dailymed.nlm.nih.gov/dailymed/drugInfo.cfm?setid=1e484a50-55db-4b85-8c57-6cd1b0353abd" TargetMode="External" /><Relationship Type="http://schemas.openxmlformats.org/officeDocument/2006/relationships/hyperlink" Id="rId53" Target="https://dailymed.nlm.nih.gov/dailymed/drugInfo.cfm?setid=6c80bb38-e8db-4138-9f0d-dbbf9c673185" TargetMode="External" /><Relationship Type="http://schemas.openxmlformats.org/officeDocument/2006/relationships/hyperlink" Id="rId31" Target="https://dailymed.nlm.nih.gov/dailymed/drugInfo.cfm?setid=7b57509a-3d5d-41d4-8fed-1471e26372a3" TargetMode="External" /><Relationship Type="http://schemas.openxmlformats.org/officeDocument/2006/relationships/hyperlink" Id="rId59" Target="https://dailymed.nlm.nih.gov/dailymed/drugInfo.cfm?setid=8ed2003a-c801-411e-831e-d06079bb0d7c" TargetMode="External" /><Relationship Type="http://schemas.openxmlformats.org/officeDocument/2006/relationships/hyperlink" Id="rId64" Target="https://dailymed.nlm.nih.gov/dailymed/drugInfo.cfm?setid=a7a23b87-f892-4e2c-8e2e-ebf841220f90" TargetMode="External" /><Relationship Type="http://schemas.openxmlformats.org/officeDocument/2006/relationships/hyperlink" Id="rId30" Target="https://dailymed.nlm.nih.gov/dailymed/drugInfo.cfm?setid=df502787-46ec-4dd1-a2c0-be90f6d95a5d" TargetMode="External" /><Relationship Type="http://schemas.openxmlformats.org/officeDocument/2006/relationships/hyperlink" Id="rId45" Target="https://dailymed.nlm.nih.gov/dailymed/drugInfo.cfm?setid=ff61b237-be8e-461b-8114-78c52a8ad0ae" TargetMode="External" /><Relationship Type="http://schemas.openxmlformats.org/officeDocument/2006/relationships/hyperlink" Id="rId42" Target="https://dailymed.nlm.nih.gov/dailymed/fda/fdaDrugXsl.cfm?setid=f925abbe-4977-00b0-e053-6294a90a6e53&amp;utm_source=chatgpt.com" TargetMode="External" /><Relationship Type="http://schemas.openxmlformats.org/officeDocument/2006/relationships/hyperlink" Id="rId44" Target="https://dailymed.nlm.nih.gov/dailymed/getFile.cfm?setid=486dcfc4-f07a-4a78-86f0-f1c5ae448dc1&amp;type=pdf&amp;utm_source=chatgpt.com" TargetMode="External" /><Relationship Type="http://schemas.openxmlformats.org/officeDocument/2006/relationships/hyperlink" Id="rId68" Target="https://dailymed.nlm.nih.gov/dailymed/lookup.cfm?setid=21693ee2-cd23-4137-ac67-066bb3a4a9b7&amp;utm_source=chatgpt.com" TargetMode="External" /><Relationship Type="http://schemas.openxmlformats.org/officeDocument/2006/relationships/hyperlink" Id="rId36" Target="https://dailymed.nlm.nih.gov/dailymed/lookup.cfm?setid=725d4e73-6c83-477a-adc6-0ae4a133a844" TargetMode="External" /><Relationship Type="http://schemas.openxmlformats.org/officeDocument/2006/relationships/hyperlink" Id="rId24" Target="https://dailymed.nlm.nih.gov/dailymed/lookup.cfm?setid=749e42fb-2fe0-45dd-9268-b43bb3f4081c" TargetMode="External" /><Relationship Type="http://schemas.openxmlformats.org/officeDocument/2006/relationships/hyperlink" Id="rId25" Target="https://dailymed.nlm.nih.gov/dailymed/lookup.cfm?setid=8e4b636e-ee9c-4111-779d-28c8369d283b" TargetMode="External" /><Relationship Type="http://schemas.openxmlformats.org/officeDocument/2006/relationships/hyperlink" Id="rId56" Target="https://dailymed.nlm.nih.gov/dailymed/lookup.cfm?setid=cbc31ab1-a80f-4b50-a3b1-39910b0fb609" TargetMode="External" /><Relationship Type="http://schemas.openxmlformats.org/officeDocument/2006/relationships/hyperlink" Id="rId58" Target="https://dailymed.nlm.nih.gov/dailymed/lookup.cfm?setid=ddc3d400-bcb3-4b09-aae2-0768b10a5b0f" TargetMode="External" /><Relationship Type="http://schemas.openxmlformats.org/officeDocument/2006/relationships/hyperlink" Id="rId34" Target="https://dailymed.nlm.nih.gov/dailymed/medguide.cfm?setid=749e42fb-2fe0-45dd-9268-b43bb3f4081c" TargetMode="External" /><Relationship Type="http://schemas.openxmlformats.org/officeDocument/2006/relationships/hyperlink" Id="rId49" Target="https://dailymed.nlm.nih.gov/dailymed/medguide.cfm?setid=7b57509a-3d5d-41d4-8fed-1471e26372a3" TargetMode="External" /><Relationship Type="http://schemas.openxmlformats.org/officeDocument/2006/relationships/hyperlink" Id="rId69" Target="https://ec.europa.eu/health/documents/community-register/2024/20240822163329/anx_163329_en.pdf?utm_source=chatgpt.com" TargetMode="External" /><Relationship Type="http://schemas.openxmlformats.org/officeDocument/2006/relationships/hyperlink" Id="rId50" Target="https://labeling.bayerhealthcare.com/html/products/pi/Adempas_MG.pdf" TargetMode="External" /><Relationship Type="http://schemas.openxmlformats.org/officeDocument/2006/relationships/hyperlink" Id="rId47" Target="https://pi.lilly.com/us/adcirca-pi.pdf?utm_source=chatgpt.com" TargetMode="External" /><Relationship Type="http://schemas.openxmlformats.org/officeDocument/2006/relationships/hyperlink" Id="rId77" Target="https://pmc.ncbi.nlm.nih.gov/articles/PMC11525349/?utm_source=chatgpt.com" TargetMode="External" /><Relationship Type="http://schemas.openxmlformats.org/officeDocument/2006/relationships/hyperlink" Id="rId76" Target="https://pmc.ncbi.nlm.nih.gov/articles/PMC9608103/" TargetMode="External" /><Relationship Type="http://schemas.openxmlformats.org/officeDocument/2006/relationships/hyperlink" Id="rId26" Target="https://publications.ersnet.org/content/erj/61/1/2200879" TargetMode="External" /><Relationship Type="http://schemas.openxmlformats.org/officeDocument/2006/relationships/hyperlink" Id="rId63" Target="https://www.accessdata.fda.gov/drugsatfda_docs/label/2008/021779s006lbl.pdf" TargetMode="External" /><Relationship Type="http://schemas.openxmlformats.org/officeDocument/2006/relationships/hyperlink" Id="rId37" Target="https://www.accessdata.fda.gov/drugsatfda_docs/label/2009/022081s010lbl.pdf" TargetMode="External" /><Relationship Type="http://schemas.openxmlformats.org/officeDocument/2006/relationships/hyperlink" Id="rId52" Target="https://www.accessdata.fda.gov/drugsatfda_docs/label/2011/020444s018lbl.pdf" TargetMode="External" /><Relationship Type="http://schemas.openxmlformats.org/officeDocument/2006/relationships/hyperlink" Id="rId60" Target="https://www.accessdata.fda.gov/drugsatfda_docs/label/2014/203496s001lbl.pdf" TargetMode="External" /><Relationship Type="http://schemas.openxmlformats.org/officeDocument/2006/relationships/hyperlink" Id="rId35" Target="https://www.accessdata.fda.gov/drugsatfda_docs/label/2016/021290s033lbl.pdf" TargetMode="External" /><Relationship Type="http://schemas.openxmlformats.org/officeDocument/2006/relationships/hyperlink" Id="rId61" Target="https://www.accessdata.fda.gov/drugsatfda_docs/label/2016/203496s002lbl.pdf" TargetMode="External" /><Relationship Type="http://schemas.openxmlformats.org/officeDocument/2006/relationships/hyperlink" Id="rId54" Target="https://www.accessdata.fda.gov/drugsatfda_docs/label/2017/203649Orig1s000lbl.pdf" TargetMode="External" /><Relationship Type="http://schemas.openxmlformats.org/officeDocument/2006/relationships/hyperlink" Id="rId23" Target="https://www.accessdata.fda.gov/drugsatfda_docs/label/2017/204819s006lbl.pdf" TargetMode="External" /><Relationship Type="http://schemas.openxmlformats.org/officeDocument/2006/relationships/hyperlink" Id="rId22" Target="https://www.accessdata.fda.gov/drugsatfda_docs/label/2017/209279s000lbl.pdf" TargetMode="External" /><Relationship Type="http://schemas.openxmlformats.org/officeDocument/2006/relationships/hyperlink" Id="rId55" Target="https://www.accessdata.fda.gov/drugsatfda_docs/label/2018/021272s026lbl.pdf" TargetMode="External" /><Relationship Type="http://schemas.openxmlformats.org/officeDocument/2006/relationships/hyperlink" Id="rId66" Target="https://www.accessdata.fda.gov/drugsatfda_docs/label/2019/207947s007lbl.pdf" TargetMode="External" /><Relationship Type="http://schemas.openxmlformats.org/officeDocument/2006/relationships/hyperlink" Id="rId46" Target="https://www.accessdata.fda.gov/drugsatfda_docs/label/2020/022332Orig1s011lbl.pdf?utm_source=chatgpt.com" TargetMode="External" /><Relationship Type="http://schemas.openxmlformats.org/officeDocument/2006/relationships/hyperlink" Id="rId29" Target="https://www.accessdata.fda.gov/drugsatfda_docs/label/2022/022387s020lbl.pdf" TargetMode="External" /><Relationship Type="http://schemas.openxmlformats.org/officeDocument/2006/relationships/hyperlink" Id="rId57" Target="https://www.accessdata.fda.gov/drugsatfda_docs/label/2022/214324s000lbl.pdf" TargetMode="External" /><Relationship Type="http://schemas.openxmlformats.org/officeDocument/2006/relationships/hyperlink" Id="rId43" Target="https://www.accessdata.fda.gov/drugsatfda_docs/label/2024/021845Orig1s028lbl.pdf?utm_source=chatgpt.com" TargetMode="External" /><Relationship Type="http://schemas.openxmlformats.org/officeDocument/2006/relationships/hyperlink" Id="rId27" Target="https://www.accessdata.fda.gov/drugsatfda_docs/label/2024/761363s000lbl.pdf?utm_source=chatgpt.com" TargetMode="External" /><Relationship Type="http://schemas.openxmlformats.org/officeDocument/2006/relationships/hyperlink" Id="rId62" Target="https://www.jnjlabels.com/package-insert/product-monograph/prescribing-information/VENTAVIS-pi.pdf" TargetMode="External" /><Relationship Type="http://schemas.openxmlformats.org/officeDocument/2006/relationships/hyperlink" Id="rId40" Target="https://www.opsumithcp.com/dosing/dosing-and-administration/" TargetMode="External" /><Relationship Type="http://schemas.openxmlformats.org/officeDocument/2006/relationships/hyperlink" Id="rId71" Target="https://www.sciencedirect.com/science/article/abs/pii/S0049384823002141" TargetMode="External" /><Relationship Type="http://schemas.openxmlformats.org/officeDocument/2006/relationships/hyperlink" Id="rId72" Target="https://www.sciencedirect.com/science/article/pii/S1538783623002702" TargetMode="External" /><Relationship Type="http://schemas.openxmlformats.org/officeDocument/2006/relationships/hyperlink" Id="rId65" Target="https://www.uptravihcp.com/assets/pdf/uptravi-iv-ifu-reference-gui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2026-02-26T02:48:07Z</dcterms:created>
  <dcterms:modified xsi:type="dcterms:W3CDTF">2026-02-26T02:48:07Z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