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97.44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540000" cy="2451100"/>
            <wp:effectExtent b="0" l="0" r="0" t="0"/>
            <wp:docPr descr="DAIICT-Logo.jpg" id="1" name="image3.jpg"/>
            <a:graphic>
              <a:graphicData uri="http://schemas.openxmlformats.org/drawingml/2006/picture">
                <pic:pic>
                  <pic:nvPicPr>
                    <pic:cNvPr descr="DAIICT-Logo.jpg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686.7763199999999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CS401: Computational Finance</w:t>
      </w:r>
    </w:p>
    <w:p w:rsidR="00000000" w:rsidDel="00000000" w:rsidP="00000000" w:rsidRDefault="00000000" w:rsidRPr="00000000" w14:paraId="00000003">
      <w:pPr>
        <w:spacing w:line="686.7763199999999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Lab 3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97.44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Name​: Abhin Kakkad</w:t>
      </w:r>
    </w:p>
    <w:p w:rsidR="00000000" w:rsidDel="00000000" w:rsidP="00000000" w:rsidRDefault="00000000" w:rsidRPr="00000000" w14:paraId="00000007">
      <w:pPr>
        <w:spacing w:line="397.44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Id​: 201501419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7.44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Name: ​Manthan Mehta</w:t>
      </w:r>
    </w:p>
    <w:p w:rsidR="00000000" w:rsidDel="00000000" w:rsidP="00000000" w:rsidRDefault="00000000" w:rsidRPr="00000000" w14:paraId="0000000A">
      <w:pPr>
        <w:spacing w:line="397.44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Id​: 201501420</w:t>
      </w:r>
    </w:p>
    <w:p w:rsidR="00000000" w:rsidDel="00000000" w:rsidP="00000000" w:rsidRDefault="00000000" w:rsidRPr="00000000" w14:paraId="0000000B">
      <w:pPr>
        <w:spacing w:line="397.44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97.44" w:lineRule="auto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Q1. Consider a Compound Interest at the interest rate 10% compounded semi-annually using the Actual/Actual day convention. Compound Factor describes the how much an investment of $1 will be worth when compounded at this interest after t years. Discount Factor returns the reciprocal of the Compound Factor, which is used to calculate present value of cash flows. Calculate both factors for 5 years.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 17th, 2018</w:t>
      </w:r>
    </w:p>
    <w:p w:rsidR="00000000" w:rsidDel="00000000" w:rsidP="00000000" w:rsidRDefault="00000000" w:rsidRPr="00000000" w14:paraId="00000012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10.0% </w:t>
      </w:r>
    </w:p>
    <w:p w:rsidR="00000000" w:rsidDel="00000000" w:rsidP="00000000" w:rsidRDefault="00000000" w:rsidRPr="00000000" w14:paraId="00000013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Actual/Actual (ISDA) Semiannual compounding</w:t>
      </w:r>
    </w:p>
    <w:p w:rsidR="00000000" w:rsidDel="00000000" w:rsidP="00000000" w:rsidRDefault="00000000" w:rsidRPr="00000000" w14:paraId="00000014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1.628894</w:t>
      </w:r>
    </w:p>
    <w:p w:rsidR="00000000" w:rsidDel="00000000" w:rsidP="00000000" w:rsidRDefault="00000000" w:rsidRPr="00000000" w14:paraId="00000015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0.613913</w:t>
      </w:r>
    </w:p>
    <w:p w:rsidR="00000000" w:rsidDel="00000000" w:rsidP="00000000" w:rsidRDefault="00000000" w:rsidRPr="00000000" w14:paraId="00000016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97.44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Q2. European Option Pricing: Consider a European stock option with spot price $100, strike price $80, volatility of 25% and maturing on July 31, 2020. Value this option on April 10, 2018 using the Binomial Tree Model as well as Black Scholes Model.</w:t>
      </w:r>
    </w:p>
    <w:p w:rsidR="00000000" w:rsidDel="00000000" w:rsidP="00000000" w:rsidRDefault="00000000" w:rsidRPr="00000000" w14:paraId="00000025">
      <w:pPr>
        <w:spacing w:line="397.44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97.44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71900" cy="2647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5840" w:w="12240"/>
      <w:pgMar w:bottom="1440" w:top="1440" w:left="1440" w:right="1440" w:head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line="686.7763199999999" w:lineRule="auto"/>
      <w:contextualSpacing w:val="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36"/>
        <w:szCs w:val="36"/>
        <w:rtl w:val="0"/>
      </w:rPr>
      <w:t xml:space="preserve">CS401: Computational Finance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CS401: Computational Finance</w:t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