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Literature Survey: Face Liveness Detection Reference Papers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Comprehensive Comparison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Paper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Their Solution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Drawbacks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Our Improvements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Multi-Modal Approach using Disparity Maps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Disparity maps from dual-sensor systems (Intel RealSense) to create pseudo-depth information for 2D attack detection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 to 2D attacks only; Requires specific Intel RealSense hardware; Dependency on facial landmark detection; Performance degrades in poor lighting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Extended coverage for 2D, 3D, and deepfake attacks using standard RGB camera + IMU sensors without specialized hardware dependency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Multi-Modal CNN Enhanced by ResNet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ResNet-50 with RGB+Depth+IR+Thermal channels using fusion techniques like majority voting and stacking classifiers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Requires specialized multi-modal hardware; High computational cost with ResNet-50; Limited dataset evaluation; No real-time performance metrics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Lightweight MobileNetV3 architecture achieving 10-30ms inference with standard mobile sensors instead of expensive multi-modal hardware setup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MobileFaceNet for Low-Quality Images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MobileFaceNet architecture optimized for low-quality face images with reduced parameters while maintaining performance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Poor performance on extremely low-quality images; Single RGB modality limitation; No advanced attack resistance; Limited cross-dataset evaluation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Enhanced low-light performance with attention mechanisms (CBAM) and multi-modal RGB+IMU fusion for superior robustness against advanced attacks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Deep Learning Comprehensive Survey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Comprehensive survey covering deep learning methods including binary classification, pixel-wise supervision, and domain generalization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Survey paper with no novel contribution; Missing recent 2024-2025 innovations; Lacks practical deployment guidance; No implementation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Novel implementable solution with latest 2025 architectures optimized for browser deployment with complete privacy-preserving on-device processing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Single-modal Lightweight Network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ShuffleNet V2-based architecture using patch-level image processing with enhanced computational units for mobile deployment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Single RGB modality reduces robustness; Patch-level processing misses global context; Outdated ShuffleNet V2 architecture; Limited attack coverage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Multi-modal RGB+IMU+ambient sensor integration with global-local context analysis using modern attention-based lightweight networks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Comparative Analysis Review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Comparative analysis of traditional and deep learning face anti-spoofing methods from multi-scale LBPs to vision transformer approaches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Review paper without algorithmic contribution; Limited technical depth; Focus on traditional methods; Missing modern lightweight architectures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Active algorithmic contribution with practical browser-based deployment and quantitative benchmarking against state-of-the-art methods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Improvements Summary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Hardware Independence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 Identified</w:t>
      </w:r>
      <w:r>
        <w:rPr>
          <w:rFonts w:eastAsia="inter" w:cs="inter" w:ascii="inter" w:hAnsi="inter"/>
          <w:color w:val="000000"/>
          <w:sz w:val="21"/>
        </w:rPr>
        <w:t xml:space="preserve">: Papers require specialized hardware (Intel RealSense, RGB+Depth+IR+Thermal cameras)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Our Solution</w:t>
      </w:r>
      <w:r>
        <w:rPr>
          <w:rFonts w:eastAsia="inter" w:cs="inter" w:ascii="inter" w:hAnsi="inter"/>
          <w:color w:val="000000"/>
          <w:sz w:val="21"/>
        </w:rPr>
        <w:t xml:space="preserve">: Standard RGB camera + common mobile IMU sensors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Computational Efficiency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 Identified</w:t>
      </w:r>
      <w:r>
        <w:rPr>
          <w:rFonts w:eastAsia="inter" w:cs="inter" w:ascii="inter" w:hAnsi="inter"/>
          <w:color w:val="000000"/>
          <w:sz w:val="21"/>
        </w:rPr>
        <w:t xml:space="preserve">: Heavy ResNet-50 architecture with high computational cost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Our Solution</w:t>
      </w:r>
      <w:r>
        <w:rPr>
          <w:rFonts w:eastAsia="inter" w:cs="inter" w:ascii="inter" w:hAnsi="inter"/>
          <w:color w:val="000000"/>
          <w:sz w:val="21"/>
        </w:rPr>
        <w:t xml:space="preserve">: Lightweight MobileNetV3 achieving 10-30ms inference time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Multi-Modal Robustness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 Identified</w:t>
      </w:r>
      <w:r>
        <w:rPr>
          <w:rFonts w:eastAsia="inter" w:cs="inter" w:ascii="inter" w:hAnsi="inter"/>
          <w:color w:val="000000"/>
          <w:sz w:val="21"/>
        </w:rPr>
        <w:t xml:space="preserve">: Limited to single RGB modality in multiple papers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Our Solution</w:t>
      </w:r>
      <w:r>
        <w:rPr>
          <w:rFonts w:eastAsia="inter" w:cs="inter" w:ascii="inter" w:hAnsi="inter"/>
          <w:color w:val="000000"/>
          <w:sz w:val="21"/>
        </w:rPr>
        <w:t xml:space="preserve">: RGB + IMU + ambient sensor fusion with attention mechanisms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Practical Implementation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 Identified</w:t>
      </w:r>
      <w:r>
        <w:rPr>
          <w:rFonts w:eastAsia="inter" w:cs="inter" w:ascii="inter" w:hAnsi="inter"/>
          <w:color w:val="000000"/>
          <w:sz w:val="21"/>
        </w:rPr>
        <w:t xml:space="preserve">: Survey papers without technical contributions or implementation details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Our Solution</w:t>
      </w:r>
      <w:r>
        <w:rPr>
          <w:rFonts w:eastAsia="inter" w:cs="inter" w:ascii="inter" w:hAnsi="inter"/>
          <w:color w:val="000000"/>
          <w:sz w:val="21"/>
        </w:rPr>
        <w:t xml:space="preserve">: Novel browser-deployable system with quantitative benchmarking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Attack Coverage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 Identified</w:t>
      </w:r>
      <w:r>
        <w:rPr>
          <w:rFonts w:eastAsia="inter" w:cs="inter" w:ascii="inter" w:hAnsi="inter"/>
          <w:color w:val="000000"/>
          <w:sz w:val="21"/>
        </w:rPr>
        <w:t xml:space="preserve">: Limited to 2D attacks only or poor performance against advanced attacks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Our Solution</w:t>
      </w:r>
      <w:r>
        <w:rPr>
          <w:rFonts w:eastAsia="inter" w:cs="inter" w:ascii="inter" w:hAnsi="inter"/>
          <w:color w:val="000000"/>
          <w:sz w:val="21"/>
        </w:rPr>
        <w:t xml:space="preserve">: Comprehensive 2D, 3D, and deepfake attack detection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Privacy &amp; Deployment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Problem Identified</w:t>
      </w:r>
      <w:r>
        <w:rPr>
          <w:rFonts w:eastAsia="inter" w:cs="inter" w:ascii="inter" w:hAnsi="inter"/>
          <w:color w:val="000000"/>
          <w:sz w:val="21"/>
        </w:rPr>
        <w:t xml:space="preserve">: Most solutions require cloud processing or lack deployment guidance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Our Solution</w:t>
      </w:r>
      <w:r>
        <w:rPr>
          <w:rFonts w:eastAsia="inter" w:cs="inter" w:ascii="inter" w:hAnsi="inter"/>
          <w:color w:val="000000"/>
          <w:sz w:val="21"/>
        </w:rPr>
        <w:t xml:space="preserve">: Complete on-device processing with browser deployment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Research Gap Analysis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literature survey validates that our proposed multi-modal lightweight approach addresses critical gaps in current research: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Hardware Accessibility</w:t>
      </w:r>
      <w:r>
        <w:rPr>
          <w:rFonts w:eastAsia="inter" w:cs="inter" w:ascii="inter" w:hAnsi="inter"/>
          <w:color w:val="000000"/>
          <w:sz w:val="21"/>
        </w:rPr>
        <w:t xml:space="preserve">: Moving from specialized sensors to standard mobile hardware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Performance</w:t>
      </w:r>
      <w:r>
        <w:rPr>
          <w:rFonts w:eastAsia="inter" w:cs="inter" w:ascii="inter" w:hAnsi="inter"/>
          <w:color w:val="000000"/>
          <w:sz w:val="21"/>
        </w:rPr>
        <w:t xml:space="preserve">: Achieving sub-30ms inference on mobile devices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Comprehensive Security</w:t>
      </w:r>
      <w:r>
        <w:rPr>
          <w:rFonts w:eastAsia="inter" w:cs="inter" w:ascii="inter" w:hAnsi="inter"/>
          <w:color w:val="000000"/>
          <w:sz w:val="21"/>
        </w:rPr>
        <w:t xml:space="preserve">: Detecting multiple attack types including deepfakes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Privacy Preservation</w:t>
      </w:r>
      <w:r>
        <w:rPr>
          <w:rFonts w:eastAsia="inter" w:cs="inter" w:ascii="inter" w:hAnsi="inter"/>
          <w:color w:val="000000"/>
          <w:sz w:val="21"/>
        </w:rPr>
        <w:t xml:space="preserve">: On-device processing without cloud dependency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Practical Deployment</w:t>
      </w:r>
      <w:r>
        <w:rPr>
          <w:rFonts w:eastAsia="inter" w:cs="inter" w:ascii="inter" w:hAnsi="inter"/>
          <w:color w:val="000000"/>
          <w:sz w:val="21"/>
        </w:rPr>
        <w:t xml:space="preserve">: Browser-based implementation for widespread adoption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analysis confirms our solution provides significant advantages over existing approaches while maintaining high accuracy and robustness standards.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2025-09-10T23:35:18.887Z</dcterms:created>
  <dcterms:modified xsi:type="dcterms:W3CDTF">2025-09-10T23:35:18.887Z</dcterms:modified>
</cp:coreProperties>
</file>