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2E4B6B"/>
          <w:sz w:val="24"/>
          <w:szCs w:val="24"/>
        </w:rPr>
        <w:t xml:space="preserve">FINAL ENGINEERING &amp; RESEARCH REPORT</w:t>
      </w:r>
    </w:p>
    <w:p>
      <w:pPr>
        <w:pBdr>
          <w:bottom w:val="single" w:color="2E4B6B" w:sz="16" w:space="8"/>
        </w:pBdr>
        <w:spacing w:after="400"/>
        <w:jc w:val="center"/>
      </w:pPr>
    </w:p>
    <w:p>
      <w:pPr>
        <w:spacing w:after="240"/>
        <w:jc w:val="center"/>
      </w:pPr>
      <w:r>
        <w:rPr>
          <w:b/>
          <w:bCs/>
          <w:sz w:val="44"/>
          <w:szCs w:val="44"/>
        </w:rPr>
        <w:t xml:space="preserve">Dual-Axis Pass-Through Barrel Scanner</w:t>
      </w:r>
    </w:p>
    <w:p>
      <w:pPr>
        <w:spacing w:after="800"/>
        <w:jc w:val="center"/>
      </w:pPr>
      <w:r>
        <w:rPr>
          <w:i/>
          <w:iCs/>
          <w:color w:val="3B3B3B"/>
          <w:sz w:val="26"/>
          <w:szCs w:val="26"/>
        </w:rPr>
        <w:t xml:space="preserve">A Modular Python Control and Machine-Learning System for Automated Internal-Volume Reconstruction of Wine and Spirits Barrels</w:t>
      </w:r>
    </w:p>
    <w:p>
      <w:pPr>
        <w:spacing w:before="2200"/>
      </w:pPr>
    </w:p>
    <w:p>
      <w:pPr>
        <w:spacing w:after="80"/>
        <w:jc w:val="center"/>
      </w:pPr>
      <w:r>
        <w:rPr>
          <w:b/>
          <w:bCs/>
          <w:sz w:val="26"/>
          <w:szCs w:val="26"/>
        </w:rPr>
        <w:t xml:space="preserve">Abhinab Chatterjee</w:t>
      </w:r>
    </w:p>
    <w:p>
      <w:pPr>
        <w:spacing w:after="480"/>
        <w:jc w:val="center"/>
      </w:pPr>
      <w:r>
        <w:rPr>
          <w:color w:val="595959"/>
          <w:sz w:val="22"/>
          <w:szCs w:val="22"/>
        </w:rPr>
        <w:t xml:space="preserve">Software Lead — Dual-Axis Pass-Through Barrel Scanner Project</w:t>
      </w:r>
    </w:p>
    <w:p>
      <w:pPr>
        <w:spacing w:before="1400"/>
        <w:jc w:val="center"/>
      </w:pPr>
      <w:r>
        <w:rPr>
          <w:sz w:val="22"/>
          <w:szCs w:val="22"/>
        </w:rPr>
        <w:t xml:space="preserve">August 19, 2026</w:t>
      </w:r>
    </w:p>
    <w:p>
      <w:pPr>
        <w:spacing w:before="80"/>
        <w:jc w:val="center"/>
      </w:pPr>
      <w:r>
        <w:rPr>
          <w:i/>
          <w:iCs/>
          <w:color w:val="595959"/>
          <w:sz w:val="19"/>
          <w:szCs w:val="19"/>
        </w:rPr>
        <w:t xml:space="preserve">Prepared at the close of the project's 8-week implementation timeline (final delivery milestone: August 21, 2026)</w:t>
      </w:r>
    </w:p>
    <w:p>
      <w:r>
        <w:br w:type="page"/>
      </w:r>
    </w:p>
    <w:p>
      <w:pPr>
        <w:pStyle w:val="Heading1"/>
        <w:pageBreakBefore/>
        <w:spacing w:after="240" w:before="480"/>
      </w:pPr>
      <w:r>
        <w:rPr>
          <w:b/>
          <w:bCs/>
          <w:color w:val="2E4B6B"/>
        </w:rPr>
        <w:t xml:space="preserve">Abstract</w:t>
      </w:r>
    </w:p>
    <w:p>
      <w:pPr>
        <w:spacing w:after="200" w:line="276"/>
        <w:jc w:val="both"/>
      </w:pPr>
      <w:r>
        <w:t xml:space="preserve">The precise characterization of a wine or spirits barrel's internal geometry is a materially important but historically under-measured quantity in cooperage: the oak-to-liquid contact ratio it implies governs chemical extraction, flavor development, and aging velocity, yet standard cooperage volumes vary from their nominal rating due to ordinary irregularities in stave bending and hand-shaving. This report documents the design, implementation, and validation methodology of a purpose-built robotic system that inserts a commercial structured-light 3D scanner through a standard ~38 mm bung hole on a coaxial, dual-axis pan/tilt turret, captures a dense point cloud of the barrel's interior, and reconstructs a watertight 3D mesh from which internal volume and surface area are computed directly.</w:t>
      </w:r>
    </w:p>
    <w:p>
      <w:pPr>
        <w:spacing w:after="200" w:line="276"/>
        <w:jc w:val="both"/>
      </w:pPr>
      <w:r>
        <w:t xml:space="preserve">Written from the perspective of the project's software lead, this report covers the migration of the control stack from an initial Node-RED prototype to a unified, thread-safe pure-Python architecture; the electromechanical design of the coaxial worm-gear turret and its kinematic cross-coupling compensation; the Modbus RTU motor-control and safety-watchdog layer; the CustomTkinter operator GUI and its Creality Scan software bridge; the geometric reconstruction pipeline that turns a raw .obscan point cloud into a watertight mesh; and the parallel machine-learning effort — a PointNet pre-binning classifier and a cylinder-aware GridUNet denoiser — being developed as a governed, quantitatively-gated replacement for the current rule-based cleanup stage.</w:t>
      </w:r>
    </w:p>
    <w:p>
      <w:pPr>
        <w:spacing w:after="200" w:line="276"/>
        <w:jc w:val="both"/>
      </w:pPr>
      <w:r>
        <w:t xml:space="preserve">The report also documents the project's evaluation discipline: a three-tier physical ground-truth protocol, a frozen and held-out validation manifest, a multi-metric evaluation harness, and a strict statistical promotion rule that a learned model must clear before it is trusted as the production default. As of this writing the reconstruction pipeline, evaluation harness, and promotion governance are implemented and exercised on synthetic and sample data; the frozen validation manifest itself is not yet populated with real, physically-measured barrels, so this report presents the pipeline and its validation framework as built rather than asserting production accuracy figures that do not yet exist. The report closes with the project's status against its eight-week milestone plan, known risks, and recommended next steps.</w:t>
      </w:r>
    </w:p>
    <w:p>
      <w:pPr>
        <w:pBdr>
          <w:bottom w:val="single" w:color="BFBFBF" w:sz="6" w:space="1"/>
        </w:pBdr>
        <w:spacing w:after="240" w:before="120"/>
      </w:pPr>
    </w:p>
    <w:p>
      <w:pPr>
        <w:pStyle w:val="Heading1"/>
        <w:pageBreakBefore/>
        <w:spacing w:after="240" w:before="480"/>
      </w:pPr>
      <w:r>
        <w:rPr>
          <w:b/>
          <w:bCs/>
          <w:color w:val="2E4B6B"/>
        </w:rPr>
        <w:t xml:space="preserve">Acknowledgments</w:t>
      </w:r>
    </w:p>
    <w:p>
      <w:pPr>
        <w:spacing w:after="200" w:line="276"/>
        <w:jc w:val="both"/>
      </w:pPr>
      <w:r>
        <w:t xml:space="preserve">This system is the product of a small, cross-disciplinary effort. Thanks are due to Reina, whose early motor bring-up checks unblocked the single-axis jog functions that everything else in the control stack was built on top of, and to Beringer's machine shop, who fabricated the coaxial turret assembly to the tolerances the kinematic model assumed. The evaluation and ground-truth protocols in this report draw on established metrology practice in the cooperage industry and on standard machine-learning validation discipline; any remaining gaps in that framework are the software team's to close in the weeks ahead.</w:t>
      </w:r>
    </w:p>
    <w:p>
      <w:pPr>
        <w:pStyle w:val="Heading1"/>
        <w:pageBreakBefore/>
        <w:spacing w:after="240" w:before="480"/>
      </w:pPr>
      <w:r>
        <w:rPr>
          <w:b/>
          <w:bCs/>
          <w:color w:val="2E4B6B"/>
        </w:rPr>
        <w:t xml:space="preserve">Table of Contents</w:t>
      </w:r>
    </w:p>
    <w:p>
      <w:pPr>
        <w:spacing w:after="100"/>
        <w:ind w:left="0"/>
      </w:pPr>
      <w:r>
        <w:rPr>
          <w:b/>
          <w:bCs/>
          <w:color w:val="1A1A1A"/>
          <w:sz w:val="21"/>
          <w:szCs w:val="21"/>
        </w:rPr>
        <w:t xml:space="preserve">Chapter 1 — Project Background and Motivation</w:t>
      </w:r>
    </w:p>
    <w:p>
      <w:pPr>
        <w:spacing w:after="60"/>
        <w:ind w:left="360"/>
      </w:pPr>
      <w:r>
        <w:rPr>
          <w:b w:val="false"/>
          <w:bCs w:val="false"/>
          <w:color w:val="3B3B3B"/>
          <w:sz w:val="20"/>
          <w:szCs w:val="20"/>
        </w:rPr>
        <w:t xml:space="preserve">1.1 Problem Statement   ·   1.2 Why a Robotic Pass-Through Scanner   ·   1.3 Report Scope, Audience, and Perspective</w:t>
      </w:r>
    </w:p>
    <w:p>
      <w:pPr>
        <w:spacing w:after="100"/>
        <w:ind w:left="0"/>
      </w:pPr>
      <w:r>
        <w:rPr>
          <w:b/>
          <w:bCs/>
          <w:color w:val="1A1A1A"/>
          <w:sz w:val="21"/>
          <w:szCs w:val="21"/>
        </w:rPr>
        <w:t xml:space="preserve">Chapter 2 — Design Alternatives and Architectural Requirements</w:t>
      </w:r>
    </w:p>
    <w:p>
      <w:pPr>
        <w:spacing w:after="60"/>
        <w:ind w:left="360"/>
      </w:pPr>
      <w:r>
        <w:rPr>
          <w:b w:val="false"/>
          <w:bCs w:val="false"/>
          <w:color w:val="3B3B3B"/>
          <w:sz w:val="20"/>
          <w:szCs w:val="20"/>
        </w:rPr>
        <w:t xml:space="preserve">2.1 From Node-RED to a Unified Python Control Stack   ·   2.2 Rule-Based vs. Learned Cleanup   ·   2.3 Requirements for a Reliable System</w:t>
      </w:r>
    </w:p>
    <w:p>
      <w:pPr>
        <w:spacing w:after="100"/>
        <w:ind w:left="0"/>
      </w:pPr>
      <w:r>
        <w:rPr>
          <w:b/>
          <w:bCs/>
          <w:color w:val="1A1A1A"/>
          <w:sz w:val="21"/>
          <w:szCs w:val="21"/>
        </w:rPr>
        <w:t xml:space="preserve">Chapter 3 — System Architecture</w:t>
      </w:r>
    </w:p>
    <w:p>
      <w:pPr>
        <w:spacing w:after="60"/>
        <w:ind w:left="360"/>
      </w:pPr>
      <w:r>
        <w:rPr>
          <w:b w:val="false"/>
          <w:bCs w:val="false"/>
          <w:color w:val="3B3B3B"/>
          <w:sz w:val="20"/>
          <w:szCs w:val="20"/>
        </w:rPr>
        <w:t xml:space="preserve">3.1 Mechanical &amp; Electrical Overview   ·   3.2 Motor Control Layer   ·   3.3 Precision &amp; Alternate Scan Strategies   ·   3.4 Safety Systems   ·   3.5 Operator GUI   ·   3.6 Creality Scan Software Bridge</w:t>
      </w:r>
    </w:p>
    <w:p>
      <w:pPr>
        <w:spacing w:after="100"/>
        <w:ind w:left="0"/>
      </w:pPr>
      <w:r>
        <w:rPr>
          <w:b/>
          <w:bCs/>
          <w:color w:val="1A1A1A"/>
          <w:sz w:val="21"/>
          <w:szCs w:val="21"/>
        </w:rPr>
        <w:t xml:space="preserve">Chapter 4 — 3D Reconstruction and Volume Pipeline</w:t>
      </w:r>
    </w:p>
    <w:p>
      <w:pPr>
        <w:spacing w:after="60"/>
        <w:ind w:left="360"/>
      </w:pPr>
      <w:r>
        <w:rPr>
          <w:b w:val="false"/>
          <w:bCs w:val="false"/>
          <w:color w:val="3B3B3B"/>
          <w:sz w:val="20"/>
          <w:szCs w:val="20"/>
        </w:rPr>
        <w:t xml:space="preserve">4.1 Pipeline Overview   ·   4.2 Rule-Based Cleanup   ·   4.3 Learned Cleanup (In Development)   ·   4.4 Model Promotion Governance</w:t>
      </w:r>
    </w:p>
    <w:p>
      <w:pPr>
        <w:spacing w:after="100"/>
        <w:ind w:left="0"/>
      </w:pPr>
      <w:r>
        <w:rPr>
          <w:b/>
          <w:bCs/>
          <w:color w:val="1A1A1A"/>
          <w:sz w:val="21"/>
          <w:szCs w:val="21"/>
        </w:rPr>
        <w:t xml:space="preserve">Chapter 5 — Evaluation Methodology and Validation Framework</w:t>
      </w:r>
    </w:p>
    <w:p>
      <w:pPr>
        <w:spacing w:after="60"/>
        <w:ind w:left="360"/>
      </w:pPr>
      <w:r>
        <w:rPr>
          <w:b w:val="false"/>
          <w:bCs w:val="false"/>
          <w:color w:val="3B3B3B"/>
          <w:sz w:val="20"/>
          <w:szCs w:val="20"/>
        </w:rPr>
        <w:t xml:space="preserve">5.1 Physical Ground-Truth Protocol   ·   5.2 Frozen &amp; Held-Out Discipline   ·   5.3 Evaluation Harness Metrics   ·   5.4 Current Validation Status</w:t>
      </w:r>
    </w:p>
    <w:p>
      <w:pPr>
        <w:spacing w:after="100"/>
        <w:ind w:left="0"/>
      </w:pPr>
      <w:r>
        <w:rPr>
          <w:b/>
          <w:bCs/>
          <w:color w:val="1A1A1A"/>
          <w:sz w:val="21"/>
          <w:szCs w:val="21"/>
        </w:rPr>
        <w:t xml:space="preserve">Chapter 6 — Project Status, Risks, and Path to Production</w:t>
      </w:r>
    </w:p>
    <w:p>
      <w:pPr>
        <w:spacing w:after="60"/>
        <w:ind w:left="360"/>
      </w:pPr>
      <w:r>
        <w:rPr>
          <w:b w:val="false"/>
          <w:bCs w:val="false"/>
          <w:color w:val="3B3B3B"/>
          <w:sz w:val="20"/>
          <w:szCs w:val="20"/>
        </w:rPr>
        <w:t xml:space="preserve">6.1 Status Against the 8-Week Milestone Plan   ·   6.2 Known Risks and Mitigations   ·   6.3 Path to Production</w:t>
      </w:r>
    </w:p>
    <w:p>
      <w:pPr>
        <w:spacing w:after="100"/>
        <w:ind w:left="0"/>
      </w:pPr>
      <w:r>
        <w:rPr>
          <w:b/>
          <w:bCs/>
          <w:color w:val="1A1A1A"/>
          <w:sz w:val="21"/>
          <w:szCs w:val="21"/>
        </w:rPr>
        <w:t xml:space="preserve">Chapter 7 — Summary and Future Work</w:t>
      </w:r>
    </w:p>
    <w:p>
      <w:pPr>
        <w:spacing w:after="60"/>
        <w:ind w:left="360"/>
      </w:pPr>
      <w:r>
        <w:rPr>
          <w:b w:val="false"/>
          <w:bCs w:val="false"/>
          <w:color w:val="3B3B3B"/>
          <w:sz w:val="20"/>
          <w:szCs w:val="20"/>
        </w:rPr>
        <w:t xml:space="preserve">7.1 Summary   ·   7.2 Future Work</w:t>
      </w:r>
    </w:p>
    <w:p>
      <w:pPr>
        <w:spacing w:after="100"/>
        <w:ind w:left="0"/>
      </w:pPr>
      <w:r>
        <w:rPr>
          <w:b/>
          <w:bCs/>
          <w:color w:val="1A1A1A"/>
          <w:sz w:val="21"/>
          <w:szCs w:val="21"/>
        </w:rPr>
        <w:t xml:space="preserve">Appendix A — Codebase Structure Reference</w:t>
      </w:r>
    </w:p>
    <w:p>
      <w:pPr>
        <w:spacing w:after="100"/>
        <w:ind w:left="0"/>
      </w:pPr>
      <w:r>
        <w:rPr>
          <w:b/>
          <w:bCs/>
          <w:color w:val="1A1A1A"/>
          <w:sz w:val="21"/>
          <w:szCs w:val="21"/>
        </w:rPr>
        <w:t xml:space="preserve">Appendix B — Calibration and Configuration Parameters</w:t>
      </w:r>
    </w:p>
    <w:p>
      <w:pPr>
        <w:spacing w:before="300"/>
      </w:pPr>
      <w:r>
        <w:rPr>
          <w:i/>
          <w:iCs/>
          <w:color w:val="595959"/>
          <w:sz w:val="18"/>
          <w:szCs w:val="18"/>
        </w:rPr>
        <w:t xml:space="preserve">Tip: in Word, References → Table of Contents → “Automatic Table” will replace this list with a live, page-numbered version if preferred.</w:t>
      </w:r>
    </w:p>
    <w:p>
      <w:pPr>
        <w:pStyle w:val="Heading1"/>
        <w:pageBreakBefore/>
        <w:spacing w:after="240" w:before="480"/>
      </w:pPr>
      <w:r>
        <w:rPr>
          <w:b/>
          <w:bCs/>
          <w:color w:val="2E4B6B"/>
        </w:rPr>
        <w:t xml:space="preserve">Chapter 1 — Project Background and Motivation</w:t>
      </w:r>
    </w:p>
    <w:p>
      <w:pPr>
        <w:pStyle w:val="Heading2"/>
        <w:spacing w:after="160" w:before="360"/>
      </w:pPr>
      <w:r>
        <w:rPr>
          <w:b/>
          <w:bCs/>
          <w:color w:val="1A1A1A"/>
        </w:rPr>
        <w:t xml:space="preserve">1.1 Problem Statement</w:t>
      </w:r>
    </w:p>
    <w:p>
      <w:pPr>
        <w:spacing w:after="200" w:line="276"/>
        <w:jc w:val="both"/>
      </w:pPr>
      <w:r>
        <w:t xml:space="preserve">Barrel-aged wine and spirits acquire much of their color, tannin structure, and flavor complexity through direct contact between the liquid and the oak. The rate and character of that extraction is governed in large part by the ratio of internal wetted surface area to liquid volume, and by the exact internal volume itself, which determines how much of a given spirit or wine a barrel actually holds relative to its nominal cooperage rating (e.g., a "225 L Bordeaux barrique"). In practice, no two barrels are identical: stave bending, hand-shaving at the croze (the internal bevel where the head meets the wall), toasting, and ordinary manufacturing tolerance all cause a barrel's true internal geometry to depart from its nominal spec by amounts that matter to a producer tracking extraction consistency, blending losses, or angel's-share evaporation across a cellar.</w:t>
      </w:r>
    </w:p>
    <w:p>
      <w:pPr>
        <w:spacing w:after="200" w:line="276"/>
        <w:jc w:val="both"/>
      </w:pPr>
      <w:r>
        <w:t xml:space="preserve">Measuring that true internal geometry has historically required either destructive methods, slow manual water-fill procedures, or coarse caliper-based estimates that cannot capture local geometry such as the crozehead crease or bung deformation. This project's premise is that a compact 3D scanner, inserted through the barrel's existing bung hole, can capture the internal surface directly and non-destructively, and that a well-engineered software pipeline can turn that raw scan into a trustworthy volume and area measurement at production speed.</w:t>
      </w:r>
    </w:p>
    <w:p>
      <w:pPr>
        <w:pStyle w:val="Heading2"/>
        <w:spacing w:after="160" w:before="360"/>
      </w:pPr>
      <w:r>
        <w:rPr>
          <w:b/>
          <w:bCs/>
          <w:color w:val="1A1A1A"/>
        </w:rPr>
        <w:t xml:space="preserve">1.2 Why a Robotic Pass-Through Scanner</w:t>
      </w:r>
    </w:p>
    <w:p>
      <w:pPr>
        <w:spacing w:after="200" w:line="276"/>
        <w:jc w:val="both"/>
      </w:pPr>
      <w:r>
        <w:t xml:space="preserve">A standard barrel bung hole is roughly 38 mm in diameter — too narrow for a handheld scanning pass and too narrow for most off-the-shelf turntable or arm-based scanning rigs. The approach adopted here lowers a commercial structured-light scanner (a Creality CR-Scan Ferret SE) into the barrel on a slender, coaxial pan/tilt turret housed inside a tube that fits through the bung. All motors, wiring, and electronics are kept outside or at the rear of the tube; only the scanning payload and its immediate mount enter the barrel. This keeps the mechanism serviceable and keeps the sensitive optics and drive electronics out of a humid, oak-tannin-laden environment.</w:t>
      </w:r>
    </w:p>
    <w:p>
      <w:pPr>
        <w:spacing w:after="200" w:line="276"/>
        <w:jc w:val="both"/>
      </w:pPr>
      <w:r>
        <w:t xml:space="preserve">Because the scanner itself is a closed, vendor-controlled device driven through its own Windows application, the system as a whole is necessarily a hybrid of physical motion control (which this project owns end-to-end) and UI automation of third-party software (which this project must drive reliably but cannot modify internally). Both halves are covered in this report.</w:t>
      </w:r>
    </w:p>
    <w:tbl>
      <w:tblPr>
        <w:tblW w:type="pct" w:w="100%"/>
        <w:tblBorders>
          <w:top w:val="dashed" w:color="2E4B6B" w:sz="6"/>
          <w:left w:val="dashed" w:color="2E4B6B" w:sz="6"/>
          <w:bottom w:val="dashed" w:color="2E4B6B" w:sz="6"/>
          <w:right w:val="dashed" w:color="2E4B6B" w:sz="6"/>
          <w:insideH w:val="none" w:color="FFFFFF" w:sz="0"/>
          <w:insideV w:val="none" w:color="FFFFFF" w:sz="0"/>
        </w:tblBorders>
      </w:tblPr>
      <w:tblGrid>
        <w:gridCol w:w="100"/>
      </w:tblGrid>
      <w:tr>
        <w:tc>
          <w:tcPr>
            <w:shd w:fill="F2F5F8" w:val="clear"/>
            <w:tcMar>
              <w:top w:type="dxa" w:w="200"/>
              <w:left w:type="dxa" w:w="240"/>
              <w:bottom w:type="dxa" w:w="200"/>
              <w:right w:type="dxa" w:w="240"/>
            </w:tcMar>
            <w:vAlign w:val="center"/>
          </w:tcPr>
          <w:p>
            <w:pPr>
              <w:spacing w:after="60"/>
              <w:jc w:val="center"/>
            </w:pPr>
            <w:r>
              <w:rPr>
                <w:b/>
                <w:bCs/>
                <w:color w:val="2E4B6B"/>
                <w:sz w:val="20"/>
                <w:szCs w:val="20"/>
              </w:rPr>
              <w:t xml:space="preserve">🖼  Figure 1.1</w:t>
            </w:r>
          </w:p>
          <w:p>
            <w:pPr>
              <w:jc w:val="center"/>
            </w:pPr>
            <w:r>
              <w:rPr>
                <w:i/>
                <w:iCs/>
                <w:color w:val="3B3B3B"/>
                <w:sz w:val="20"/>
                <w:szCs w:val="20"/>
              </w:rPr>
              <w:t xml:space="preserve">Photograph or render of the assembled coaxial pan/tilt turret next to a barrel, with the bung hole and inserted tube visible. A labeled cutaway or exploded CAD view (from the Fusion 360 model) showing the rear iDM57/ESS17 motor bracket, the central worm-gear shaft, and the front camera bracket would also work well here.</w:t>
            </w:r>
          </w:p>
        </w:tc>
      </w:tr>
    </w:tbl>
    <w:p>
      <w:pPr>
        <w:spacing w:after="240"/>
      </w:pPr>
    </w:p>
    <w:p>
      <w:pPr>
        <w:pStyle w:val="Heading2"/>
        <w:spacing w:after="160" w:before="360"/>
      </w:pPr>
      <w:r>
        <w:rPr>
          <w:b/>
          <w:bCs/>
          <w:color w:val="1A1A1A"/>
        </w:rPr>
        <w:t xml:space="preserve">1.3 Report Scope, Audience, and Perspective</w:t>
      </w:r>
    </w:p>
    <w:p>
      <w:pPr>
        <w:spacing w:after="200" w:line="276"/>
        <w:jc w:val="both"/>
      </w:pPr>
      <w:r>
        <w:t xml:space="preserve">This report is written from the perspective of the project's software lead. Its purpose is to give a technically complete account of the control software, the reconstruction and machine-learning pipeline, and the evaluation methodology that together turn a raw 3D scan into a defensible volume measurement — including the engineering trade-offs made along the way, what is production-ready today, what is deliberately gated behind further validation, and what the near-term risks are. Mechanical and electrical design is described to the extent needed to explain the software's constraints (e.g., the kinematic cross-coupling between the pan and tilt drivetrains), but the mechanical design review itself is not this report's subject.</w:t>
      </w:r>
    </w:p>
    <w:p>
      <w:pPr>
        <w:spacing w:after="200" w:line="276"/>
        <w:jc w:val="both"/>
      </w:pPr>
      <w:r>
        <w:t xml:space="preserve">The report follows the shape of a technical dissertation: a statement of the problem and prior design alternatives, a description of the system as built, the methodology used to validate it, and an honest accounting of where the system stands against its delivery milestones. Recommended figure, diagram, and photo insertion points are marked throughout as dashed callout boxes — these are intentionally left for the reader to populate with project-specific media before the report is circulated or archived.</w:t>
      </w:r>
    </w:p>
    <w:p>
      <w:pPr>
        <w:pStyle w:val="Heading1"/>
        <w:pageBreakBefore/>
        <w:spacing w:after="240" w:before="480"/>
      </w:pPr>
      <w:r>
        <w:rPr>
          <w:b/>
          <w:bCs/>
          <w:color w:val="2E4B6B"/>
        </w:rPr>
        <w:t xml:space="preserve">Chapter 2 — Design Alternatives and Architectural Requirements</w:t>
      </w:r>
    </w:p>
    <w:p>
      <w:pPr>
        <w:pStyle w:val="Heading2"/>
        <w:spacing w:after="160" w:before="360"/>
      </w:pPr>
      <w:r>
        <w:rPr>
          <w:b/>
          <w:bCs/>
          <w:color w:val="1A1A1A"/>
        </w:rPr>
        <w:t xml:space="preserve">2.1 From Node-RED to a Unified Python Control Stack</w:t>
      </w:r>
    </w:p>
    <w:p>
      <w:pPr>
        <w:spacing w:after="200" w:line="276"/>
        <w:jc w:val="both"/>
      </w:pPr>
      <w:r>
        <w:t xml:space="preserve">The control system was initially conceived as a Node-RED project — a reasonable first choice for quickly wiring together serial I/O and a visual flow for motor jogging during early bring-up. As the scope grew to include closed-loop safety monitoring, coordinated dual-axis motion with cross-coupling compensation, and tight integration with a desktop UI-automation layer, Node-RED's flow-based model became a liability rather than an accelerant: it does not offer native, predictable multi-threading semantics for a hard real-time-ish safety watchdog running alongside motion commands, it fragments version control across JSON flow exports rather than reviewable source diffs, and it does not compose cleanly with the Python-native libraries (pymodbus, PyAutoGUI, OpenCV, PyTorch) that the reconstruction and ML pipeline require.</w:t>
      </w:r>
    </w:p>
    <w:p>
      <w:pPr>
        <w:spacing w:after="200" w:line="276"/>
        <w:jc w:val="both"/>
      </w:pPr>
      <w:r>
        <w:t xml:space="preserve">The decision, made early in the project, was to consolidate everything onto a single, pure-Python stack: pymodbus for Modbus RTU/RS-485 motor control, PyAutoGUI plus OpenCV template matching for Creality Scan UI automation, and CustomTkinter for the operator-facing GUI. This is the single architectural decision that most shaped everything downstream — it is what makes it possible for the safety watchdog to run as a genuine background thread alongside motion control, for the same Python process to own both axes and issue a synchronized emergency stop, and for the reconstruction and machine-learning code to sit in the same repository and dependency environment as the hardware layer instead of behind a network boundary.</w:t>
      </w:r>
    </w:p>
    <w:p>
      <w:pPr>
        <w:pStyle w:val="Heading2"/>
        <w:spacing w:after="160" w:before="360"/>
      </w:pPr>
      <w:r>
        <w:rPr>
          <w:b/>
          <w:bCs/>
          <w:color w:val="1A1A1A"/>
        </w:rPr>
        <w:t xml:space="preserve">2.2 Rule-Based vs. Learned Cleanup: Designing for a Safe Default with an Upgrade Path</w:t>
      </w:r>
    </w:p>
    <w:p>
      <w:pPr>
        <w:spacing w:after="200" w:line="276"/>
        <w:jc w:val="both"/>
      </w:pPr>
      <w:r>
        <w:t xml:space="preserve">A recurring design tension in the reconstruction pipeline is between a hand-tuned, fully explainable rule-based cleanup stage (pole flattening, bung detection, outlier rejection, crease-preserving smoothing) and a learned cleanup stage (a point-level PointNet classifier plus a grid-level GridUNet denoiser) that should, in principle, generalize better to barrel geometries and scan artifacts the rules were not explicitly tuned for. Rather than treating this as a one-time choice, the system is architected so that both paths share the same upstream geometry (axis fit, spherical mapping, polar binning) and downstream mesh/volume code, and are selected via a single `--cleanup {rules|learned}` flag on the reconstruction entry point.</w:t>
      </w:r>
    </w:p>
    <w:p>
      <w:pPr>
        <w:spacing w:after="200" w:line="276"/>
        <w:jc w:val="both"/>
      </w:pPr>
      <w:r>
        <w:t xml:space="preserve">This matters for a production system handling a physical asset (a client's barrel) and a business-relevant number (its rated volume): the rule-based path remains the default and is fully deterministic and auditable, while the learned path is developed, evaluated, and — critically — is only promoted to become the new default once it clears an explicit, quantitative statistical bar (Chapter 4.4). If a learned-model checkpoint is missing at runtime, the pipeline is designed to fall back to the rules path with a warning rather than fail outright, so an incomplete ML deployment can never silently degrade the deterministic baseline.</w:t>
      </w:r>
    </w:p>
    <w:p>
      <w:pPr>
        <w:pStyle w:val="Heading2"/>
        <w:spacing w:after="160" w:before="360"/>
      </w:pPr>
      <w:r>
        <w:rPr>
          <w:b/>
          <w:bCs/>
          <w:color w:val="1A1A1A"/>
        </w:rPr>
        <w:t xml:space="preserve">2.3 Requirements for a Reliable Scanning and Reconstruction System</w:t>
      </w:r>
    </w:p>
    <w:p>
      <w:pPr>
        <w:spacing w:after="200" w:line="276"/>
        <w:jc w:val="both"/>
      </w:pPr>
      <w:r>
        <w:t xml:space="preserve">Four requirements were treated as first-class throughout the design, in the same spirit that any measurement system feeding a business or safety decision must satisfy:</w:t>
      </w:r>
    </w:p>
    <w:p>
      <w:pPr>
        <w:pStyle w:val="ListParagraph"/>
        <w:numPr>
          <w:ilvl w:val="0"/>
          <w:numId w:val="1"/>
        </w:numPr>
        <w:spacing w:after="100"/>
      </w:pPr>
      <w:r>
        <w:t xml:space="preserve">Preserve — the raw .obscan point cloud and its fused normals are kept as the system's source of truth; cleanup stages never overwrite raw scan data, only the derived height-field grid and mesh.</w:t>
      </w:r>
    </w:p>
    <w:p>
      <w:pPr>
        <w:pStyle w:val="ListParagraph"/>
        <w:numPr>
          <w:ilvl w:val="0"/>
          <w:numId w:val="1"/>
        </w:numPr>
        <w:spacing w:after="100"/>
      </w:pPr>
      <w:r>
        <w:t xml:space="preserve">Connect — every motion command is tied to closed-loop encoder feedback (position-error and in-position status registers) rather than assumed from open-loop step counts, so the software's belief about where the turret is pointed is continuously checked against the drive's own sensors.</w:t>
      </w:r>
    </w:p>
    <w:p>
      <w:pPr>
        <w:pStyle w:val="ListParagraph"/>
        <w:numPr>
          <w:ilvl w:val="0"/>
          <w:numId w:val="1"/>
        </w:numPr>
        <w:spacing w:after="100"/>
      </w:pPr>
      <w:r>
        <w:t xml:space="preserve">Verify — every reconstruction is evaluated against multiple independent geometric metrics (fidelity RMS, crozehead-band RMS, head/pole RMS, asymmetry RMS) and, where ground truth exists, against physically measured volume — not against a single opaque "looks right" check.</w:t>
      </w:r>
    </w:p>
    <w:p>
      <w:pPr>
        <w:pStyle w:val="ListParagraph"/>
        <w:numPr>
          <w:ilvl w:val="0"/>
          <w:numId w:val="1"/>
        </w:numPr>
        <w:spacing w:after="100"/>
      </w:pPr>
      <w:r>
        <w:t xml:space="preserve">Limit use — a new cleanup method does not become the default until it passes a documented, statistically significant promotion gate on a frozen and held-out dataset; a CI regression check additionally blocks any pipeline change that silently degrades accuracy or watertightness.</w:t>
      </w:r>
    </w:p>
    <w:p>
      <w:pPr>
        <w:spacing w:after="200" w:line="276"/>
        <w:jc w:val="both"/>
      </w:pPr>
      <w:r>
        <w:t xml:space="preserve">These four requirements recur through the rest of this report: Chapter 3 describes how "Connect" is implemented in the motor-control and safety layer; Chapter 4 describes how "Preserve" and the rules/learned cleanup split are implemented in the reconstruction pipeline; Chapter 5 describes how "Verify" and "Limit use" are implemented in the ground-truth protocol, evaluation harness, and promotion rule.</w:t>
      </w:r>
    </w:p>
    <w:p>
      <w:pPr>
        <w:pStyle w:val="Heading1"/>
        <w:pageBreakBefore/>
        <w:spacing w:after="240" w:before="480"/>
      </w:pPr>
      <w:r>
        <w:rPr>
          <w:b/>
          <w:bCs/>
          <w:color w:val="2E4B6B"/>
        </w:rPr>
        <w:t xml:space="preserve">Chapter 3 — System Architecture</w:t>
      </w:r>
    </w:p>
    <w:p>
      <w:pPr>
        <w:pStyle w:val="Heading2"/>
        <w:spacing w:after="160" w:before="360"/>
      </w:pPr>
      <w:r>
        <w:rPr>
          <w:b/>
          <w:bCs/>
          <w:color w:val="1A1A1A"/>
        </w:rPr>
        <w:t xml:space="preserve">3.1 Mechanical and Electrical Overview</w:t>
      </w:r>
    </w:p>
    <w:p>
      <w:pPr>
        <w:spacing w:after="200" w:line="276"/>
        <w:jc w:val="both"/>
      </w:pPr>
      <w:r>
        <w:t xml:space="preserve">The physical scanner is a cylindrical tube housing a coaxial, nested pan/tilt drivetrain, sized to pass through a standard ~38 mm barrel bung hole. Rotation (pan) is driven by a large stepper, the iDM57-RS23, fixed to a rear bracket and aligned with the tube's central axis; spinning it rotates the entire turret assembly around the tube's long axis. Tilt is driven by a smaller stepper, the ESS17-RS04 closed-loop stepper, also mounted at the rear. The tilt motor's shaft is a worm screw meshing with a large worm gear fixed to a central shaft that runs the length of the tube to a front bracket, terminating in a second worm screw that tilts the camera mount. Because the tilt shaft physically passes through the center of the rotating pan assembly, panning also carries the tilt drivetrain around with it — tilt remains independently controllable by the stationary rear tilt motor, but the software must compensate for the fact that the tilt shaft rolls slightly along the tilt motor's worm screw whenever the pan axis moves (Section 3.3).</w:t>
      </w:r>
    </w:p>
    <w:p>
      <w:pPr>
        <w:spacing w:after="200" w:line="276"/>
        <w:jc w:val="both"/>
      </w:pPr>
      <w:r>
        <w:t xml:space="preserve">Both drives are controlled over Modbus RTU via a single USB-to-RS485 adapter from the host PC (iDM57 at slave ID 1, ESS17 at slave ID 2, 115200 baud), and the Creality CR-Scan Ferret SE scanner is connected to the host PC directly via USB-C and driven through its own vendor application.</w:t>
      </w:r>
    </w:p>
    <w:tbl>
      <w:tblPr>
        <w:tblW w:type="pct" w:w="100%"/>
        <w:tblBorders>
          <w:top w:val="dashed" w:color="2E4B6B" w:sz="6"/>
          <w:left w:val="dashed" w:color="2E4B6B" w:sz="6"/>
          <w:bottom w:val="dashed" w:color="2E4B6B" w:sz="6"/>
          <w:right w:val="dashed" w:color="2E4B6B" w:sz="6"/>
          <w:insideH w:val="none" w:color="FFFFFF" w:sz="0"/>
          <w:insideV w:val="none" w:color="FFFFFF" w:sz="0"/>
        </w:tblBorders>
      </w:tblPr>
      <w:tblGrid>
        <w:gridCol w:w="100"/>
      </w:tblGrid>
      <w:tr>
        <w:tc>
          <w:tcPr>
            <w:shd w:fill="F2F5F8" w:val="clear"/>
            <w:tcMar>
              <w:top w:type="dxa" w:w="200"/>
              <w:left w:type="dxa" w:w="240"/>
              <w:bottom w:type="dxa" w:w="200"/>
              <w:right w:type="dxa" w:w="240"/>
            </w:tcMar>
            <w:vAlign w:val="center"/>
          </w:tcPr>
          <w:p>
            <w:pPr>
              <w:spacing w:after="60"/>
              <w:jc w:val="center"/>
            </w:pPr>
            <w:r>
              <w:rPr>
                <w:b/>
                <w:bCs/>
                <w:color w:val="2E4B6B"/>
                <w:sz w:val="20"/>
                <w:szCs w:val="20"/>
              </w:rPr>
              <w:t xml:space="preserve">🖼  Figure 3.1</w:t>
            </w:r>
          </w:p>
          <w:p>
            <w:pPr>
              <w:jc w:val="center"/>
            </w:pPr>
            <w:r>
              <w:rPr>
                <w:i/>
                <w:iCs/>
                <w:color w:val="3B3B3B"/>
                <w:sz w:val="20"/>
                <w:szCs w:val="20"/>
              </w:rPr>
              <w:t xml:space="preserve">System architecture diagram: Control Station (Python control app / GUI, automation scripts, Creality Scan app) → Electronics Enclosure (USB-RS485 adapter, DC power bus) → Actuators &amp; Sensor Payload (iDM57-RS23 pan stepper, ESS17-RS04 tilt stepper, CR-Scan Ferret SE). Recreate the Mermaid diagram from README.md as a clean vector graphic.</w:t>
            </w:r>
          </w:p>
        </w:tc>
      </w:tr>
    </w:tbl>
    <w:p>
      <w:pPr>
        <w:spacing w:after="240"/>
      </w:pPr>
    </w:p>
    <w:p>
      <w:pPr>
        <w:pStyle w:val="Heading2"/>
        <w:spacing w:after="160" w:before="360"/>
      </w:pPr>
      <w:r>
        <w:rPr>
          <w:b/>
          <w:bCs/>
          <w:color w:val="1A1A1A"/>
        </w:rPr>
        <w:t xml:space="preserve">3.2 Motor Control Layer</w:t>
      </w:r>
    </w:p>
    <w:p>
      <w:pPr>
        <w:spacing w:after="200" w:line="276"/>
        <w:jc w:val="both"/>
      </w:pPr>
      <w:r>
        <w:t xml:space="preserve">The motor-control layer is implemented as parallel, slave-specific controller classes over a shared `ModbusLink` transport (`ess17_control.py`, `scan_sequence.py`). `ESS17Controller` (tilt, 1,000 pulses per motor revolution) and `IDM57Controller` (pan/rotation, 10,000 pulses per motor revolution) each expose `move_relative` / `move_absolute` primitives that compute a dynamic timeout from the requested distance and speed, write the acceleration/deceleration/velocity/position registers in one batched Modbus transaction, trigger the move, and then block on `wait_for_complete`, which polls the drive's motion-status bitmask (in-position, running, alarm) until motion is confirmed complete or an alarm is raised. Every move updates an in-software position counter that is reconciled against the drive's own feedback rather than assumed open-loop, and a link-level `ensure_connected()` check transparently reconnects the serial port if the underlying pymodbus driver closes it after a transient error — a robustness detail that matters once the system is left running unattended through a multi-hour batch of barrels.</w:t>
      </w:r>
    </w:p>
    <w:p>
      <w:pPr>
        <w:spacing w:after="200" w:line="276"/>
        <w:jc w:val="both"/>
      </w:pPr>
      <w:r>
        <w:t xml:space="preserve">The initial per-axis specification (documented during Weeks 1–2 mechanical review) estimated roughly 1,600 microsteps per pan revolution based on the motor's native step angle before the primary-stage gear reduction was finalized. Once the fabricated hardware arrived from the machine shop and the double-stage worm reduction was measured directly, the calibrated production values used throughout `scan_config.json` and the controller classes were fixed at 10,000 pulses per pan revolution and 1,000 pulses per tilt revolution — this is the kind of "as-built parameters may depart from initial estimates" finding the Weeks 5–6 milestone in Section 6.1 was explicitly scoped to catch.</w:t>
      </w:r>
    </w:p>
    <w:p>
      <w:pPr>
        <w:pStyle w:val="Heading3"/>
        <w:spacing w:after="120" w:before="240"/>
      </w:pPr>
      <w:r>
        <w:rPr>
          <w:b/>
          <w:bCs/>
          <w:i/>
          <w:iCs/>
        </w:rPr>
        <w:t xml:space="preserve">Kinematic cross-coupling compensation</w:t>
      </w:r>
    </w:p>
    <w:p>
      <w:pPr>
        <w:spacing w:after="200" w:line="276"/>
        <w:jc w:val="both"/>
      </w:pPr>
      <w:r>
        <w:t xml:space="preserve">Because the tilt drivetrain's shaft is coaxial with, and physically carried by, the rotating pan assembly, panning the turret while the tilt motor holds position causes the tilt shaft to roll along the tilt motor's stationary worm screw, imparting an unwanted tilt change. The system design compensates for this with a linear mixing equation applied whenever the pan axis moves:</w:t>
      </w:r>
    </w:p>
    <w:p>
      <w:pPr>
        <w:spacing w:after="200" w:before="120"/>
        <w:jc w:val="center"/>
      </w:pPr>
      <w:r>
        <w:rPr>
          <w:i/>
          <w:iCs/>
          <w:sz w:val="22"/>
          <w:szCs w:val="22"/>
        </w:rPr>
        <w:t xml:space="preserve">ΔSteps_Tilt = Steps_TargetTilt + k · ΔSteps_Pan</w:t>
      </w:r>
    </w:p>
    <w:p>
      <w:pPr>
        <w:spacing w:after="200" w:line="276"/>
        <w:jc w:val="both"/>
      </w:pPr>
      <w:r>
        <w:t xml:space="preserve">where k is a coupling coefficient fixed by the rear and front worm-gear reduction ratios, determined during Weeks 5–6 kinematic calibration alongside the steps-per-degree constants above. This is the single most safety-relevant piece of motion math in the system: an uncompensated cross-coupling term would let the tilt axis silently drift out of its intended target every time the pan axis swept, which is exactly the kind of latent error a closed-loop position-error watchdog (Section 3.4) is designed to catch even if the compensation constant is ever slightly mis-calibrated.</w:t>
      </w:r>
    </w:p>
    <w:p>
      <w:pPr>
        <w:pStyle w:val="Heading2"/>
        <w:spacing w:after="160" w:before="360"/>
      </w:pPr>
      <w:r>
        <w:rPr>
          <w:b/>
          <w:bCs/>
          <w:color w:val="1A1A1A"/>
        </w:rPr>
        <w:t xml:space="preserve">3.3 Precision and Alternate Scan Motion Strategies</w:t>
      </w:r>
    </w:p>
    <w:p>
      <w:pPr>
        <w:spacing w:after="200" w:line="276"/>
        <w:jc w:val="both"/>
      </w:pPr>
      <w:r>
        <w:t xml:space="preserve">Two complementary motion strategies exist in the codebase, reflecting the project's iterative development from broad functional coverage toward tighter precision. `scan_sequence.py` implements the configuration-driven production sweep: for each tilt target in `scan_config.json`'s `tilt_targets_pulses` list, the tilt axis moves to position, pauses, and the rotation axis sweeps a configurable number of revolutions forward and back before returning to its initial position — repeating across all tilt steps and finally re-homing both axes. `run_precision_scan.py` implements an alternate raster-sweep strategy built directly against the iDM57's real encoder position-feedback registers (0x602C/0x602D) rather than only the open-loop step count, for scan patterns where closed-loop positional accuracy matters more than throughput, and includes its own `SafetyWatchdog` and `dry_run` mode so the full motion sequence can be rehearsed without physically actuating the turret.</w:t>
      </w:r>
    </w:p>
    <w:p>
      <w:pPr>
        <w:pStyle w:val="Heading2"/>
        <w:spacing w:after="160" w:before="360"/>
      </w:pPr>
      <w:r>
        <w:rPr>
          <w:b/>
          <w:bCs/>
          <w:color w:val="1A1A1A"/>
        </w:rPr>
        <w:t xml:space="preserve">3.4 Safety Systems</w:t>
      </w:r>
    </w:p>
    <w:p>
      <w:pPr>
        <w:spacing w:after="200" w:line="276"/>
        <w:jc w:val="both"/>
      </w:pPr>
      <w:r>
        <w:t xml:space="preserve">A `SafetyWatchdog` background thread polls the ESS17-RS04's closed-loop position-error register roughly every 100 ms during motion; if the reported error exceeds a configured threshold — the software's signal that the mechanism has jammed, bound, or is being driven against a mechanical limit — the watchdog immediately calls `stop_all()` on both drives and raises an alarm rather than waiting for the calling motion routine to notice. Every controller additionally exposes an explicit `emergency_stop()` path that the GUI's e-stop control, a `KeyboardInterrupt` (Ctrl+C) handler in every CLI script, and the watchdog itself can all invoke. Motion routines are also written defensively at the sequence level: `run_scan_sequence()` wraps its stepping loop in a `try/finally` that unconditionally returns both axes to their home position even if an intermediate move fails or an unexpected exception is raised.</w:t>
      </w:r>
    </w:p>
    <w:p>
      <w:pPr>
        <w:pStyle w:val="Heading2"/>
        <w:spacing w:after="160" w:before="360"/>
      </w:pPr>
      <w:r>
        <w:rPr>
          <w:b/>
          <w:bCs/>
          <w:color w:val="1A1A1A"/>
        </w:rPr>
        <w:t xml:space="preserve">3.5 Operator GUI</w:t>
      </w:r>
    </w:p>
    <w:p>
      <w:pPr>
        <w:spacing w:after="200" w:line="276"/>
        <w:jc w:val="both"/>
      </w:pPr>
      <w:r>
        <w:t xml:space="preserve">`app_gui.py` implements the operator-facing application in CustomTkinter as an explicit state machine (`AppState`: Ready, Scanning, Processing, Results, Error), with a dedicated frame-builder method per state (`create_ready_frame`, `create_scanning_frame`, `create_processing_frame`, `create_results_frame`, `create_error_frame`) so the operator is only ever shown controls that are valid for the system's current state — for example, the emergency-stop and controlled-stop actions are only live during Scanning, and a failed run routes to a dedicated Error frame with an expandable technical-detail panel (`handle_pipeline_error`, `toggle_details`) rather than a raw traceback. A background worker thread (`pipeline_worker`) drives the actual scan-and-reconstruct pipeline and reports progress back to the UI thread through a message queue (`WorkerMessage`, `process_queue`) so the interface stays responsive during multi-minute scans. A `TiltProtractorWidget` gives the operator a literal dial/protractor control for setting tilt pass angles, converting between physical degrees and calibrated encoder pulses (`deg_to_encoder` / `encoder_to_deg`) so the operator reasons in degrees while the software reasons in pulses. A separate technician frame exposes lower-level jog, settings, and manual-reconstruct controls (`create_technician_frame`, `jog_axis`, `manual_reconstruct`, `populate_gui_config_fields`, `save_gui_config`, `reset_gui_config`) gated off from the primary operator workflow.</w:t>
      </w:r>
    </w:p>
    <w:tbl>
      <w:tblPr>
        <w:tblW w:type="pct" w:w="100%"/>
        <w:tblBorders>
          <w:top w:val="dashed" w:color="2E4B6B" w:sz="6"/>
          <w:left w:val="dashed" w:color="2E4B6B" w:sz="6"/>
          <w:bottom w:val="dashed" w:color="2E4B6B" w:sz="6"/>
          <w:right w:val="dashed" w:color="2E4B6B" w:sz="6"/>
          <w:insideH w:val="none" w:color="FFFFFF" w:sz="0"/>
          <w:insideV w:val="none" w:color="FFFFFF" w:sz="0"/>
        </w:tblBorders>
      </w:tblPr>
      <w:tblGrid>
        <w:gridCol w:w="100"/>
      </w:tblGrid>
      <w:tr>
        <w:tc>
          <w:tcPr>
            <w:shd w:fill="F2F5F8" w:val="clear"/>
            <w:tcMar>
              <w:top w:type="dxa" w:w="200"/>
              <w:left w:type="dxa" w:w="240"/>
              <w:bottom w:type="dxa" w:w="200"/>
              <w:right w:type="dxa" w:w="240"/>
            </w:tcMar>
            <w:vAlign w:val="center"/>
          </w:tcPr>
          <w:p>
            <w:pPr>
              <w:spacing w:after="60"/>
              <w:jc w:val="center"/>
            </w:pPr>
            <w:r>
              <w:rPr>
                <w:b/>
                <w:bCs/>
                <w:color w:val="2E4B6B"/>
                <w:sz w:val="20"/>
                <w:szCs w:val="20"/>
              </w:rPr>
              <w:t xml:space="preserve">🖼  Figure 3.2</w:t>
            </w:r>
          </w:p>
          <w:p>
            <w:pPr>
              <w:jc w:val="center"/>
            </w:pPr>
            <w:r>
              <w:rPr>
                <w:i/>
                <w:iCs/>
                <w:color w:val="3B3B3B"/>
                <w:sz w:val="20"/>
                <w:szCs w:val="20"/>
              </w:rPr>
              <w:t xml:space="preserve">Screenshots of the four primary GUI states (Ready, Scanning with the tilt-protractor widget, Processing, and Results panels), plus the technician settings frame. A short annotated state-diagram of AppState transitions (Ready → Scanning → Processing → Results / Error) also belongs here.</w:t>
            </w:r>
          </w:p>
        </w:tc>
      </w:tr>
    </w:tbl>
    <w:p>
      <w:pPr>
        <w:spacing w:after="240"/>
      </w:pPr>
    </w:p>
    <w:p>
      <w:pPr>
        <w:pStyle w:val="Heading2"/>
        <w:spacing w:after="160" w:before="360"/>
      </w:pPr>
      <w:r>
        <w:rPr>
          <w:b/>
          <w:bCs/>
          <w:color w:val="1A1A1A"/>
        </w:rPr>
        <w:t xml:space="preserve">3.6 Creality Scan Software Bridge</w:t>
      </w:r>
    </w:p>
    <w:p>
      <w:pPr>
        <w:spacing w:after="200" w:line="276"/>
        <w:jc w:val="both"/>
      </w:pPr>
      <w:r>
        <w:t xml:space="preserve">Because the scanner's own capture and initial fusion pipeline runs inside Creality's vendor Windows application rather than an API the project controls, `hardware/creality_autostart.py` drives that application through UI automation: `CrealityAutomator` locates on-screen controls (Preview, the "ready to scan" banner, Start, Stop, Export) via OpenCV template matching through PyAutoGUI, with a configurable match confidence (default 0.85) and multi-resolution template folders so the same automation script can run correctly across different displays or Windows scaling settings without code changes — `detect_resolution()` empirically tests each candidate template-set folder against the live screen and selects the one that matches. Where a template match times out, the automator falls back to keyboard hotkeys (Ctrl+S for export, Space/Esc to dismiss) rather than failing outright, and on-timeout screenshots are auto-captured to the `debug/` folder to make an intermittent UI-automation failure diagnosable after the fact rather than a silent hang. This bridge is discussed further as a residual project risk in Section 6.2, since screen-scraping any third-party UI is inherently more brittle than a documented API and is the one dependency in the stack the software team cannot harden by owning the other side of the interface.</w:t>
      </w:r>
    </w:p>
    <w:p>
      <w:pPr>
        <w:pStyle w:val="Heading1"/>
        <w:pageBreakBefore/>
        <w:spacing w:after="240" w:before="480"/>
      </w:pPr>
      <w:r>
        <w:rPr>
          <w:b/>
          <w:bCs/>
          <w:color w:val="2E4B6B"/>
        </w:rPr>
        <w:t xml:space="preserve">Chapter 4 — 3D Reconstruction and Volume Pipeline</w:t>
      </w:r>
    </w:p>
    <w:p>
      <w:pPr>
        <w:pStyle w:val="Heading2"/>
        <w:spacing w:after="160" w:before="360"/>
      </w:pPr>
      <w:r>
        <w:rPr>
          <w:b/>
          <w:bCs/>
          <w:color w:val="1A1A1A"/>
        </w:rPr>
        <w:t xml:space="preserve">4.1 Pipeline Overview</w:t>
      </w:r>
    </w:p>
    <w:p>
      <w:pPr>
        <w:spacing w:after="200" w:line="276"/>
        <w:jc w:val="both"/>
      </w:pPr>
      <w:r>
        <w:t xml:space="preserve">`reconstruction/barrel_reconstruct.py` is the project's core geometric engine: it takes a raw `.obscan` scan file (a SQLite container holding the fused point positions and normals produced by the Creality app) and produces a clean, watertight triangle mesh together with internal volume and surface area. The pipeline proceeds in seven steps: (1) load the point cloud and unit normals from the `.obscan` SQLite store; (2) robustly fit the barrel's rotational axis and center by seeding from a PCA covariance estimate and refining with Powell optimization to minimize within-slice radial median absolute deviation; (3) re-express every point in spherical coordinates (azimuth, elevation, radius) about that fitted axis, producing a height field ρ(azimuth, elevation); (4) bin points into a polar grid, with wall points (whose normal is roughly perpendicular to the axis) and head/end-cap points (whose normal is roughly parallel to it) binned and merged separately, and extra polar rows densely packed around each crozehead corner so the crease where stave wall meets head disc is preserved sharply rather than blurred across regions; (5) clean the grid, via either the rule-based or learned path (Sections 4.2–4.3); (6) convert the cleaned height field into a watertight triangle mesh, decimating azimuthal resolution toward the poles so triangles do not degenerate near the flat head discs, and ensuring consistent outward face winding; and (7) export PLY/STL meshes and compute exact enclosed volume by signed tetrahedron integration over every mesh face, together with surface area.</w:t>
      </w:r>
    </w:p>
    <w:p>
      <w:pPr>
        <w:spacing w:after="200" w:line="276"/>
        <w:jc w:val="both"/>
      </w:pPr>
      <w:r>
        <w:rPr>
          <w:i/>
          <w:iCs/>
        </w:rPr>
        <w:t xml:space="preserve">V = </w:t>
      </w:r>
      <w:r>
        <w:rPr>
          <w:i/>
          <w:iCs/>
        </w:rPr>
        <w:t xml:space="preserve">⅙ Σ</w:t>
      </w:r>
      <w:r>
        <w:rPr>
          <w:i/>
          <w:iCs/>
        </w:rPr>
        <w:t xml:space="preserve">f v₀ · (v₁ × v₂)</w:t>
      </w:r>
    </w:p>
    <w:p>
      <w:pPr>
        <w:spacing w:after="280" w:before="80"/>
        <w:jc w:val="center"/>
      </w:pPr>
      <w:r>
        <w:rPr>
          <w:i/>
          <w:iCs/>
          <w:color w:val="595959"/>
          <w:sz w:val="20"/>
          <w:szCs w:val="20"/>
        </w:rPr>
        <w:t xml:space="preserve">Internal volume from a closed triangle mesh, computed as the signed sum of tetrahedron volumes over every face — the same construction used to convert the cleaned height field into a defensible Litre figure. 1 m³ = 1,000 L.</w:t>
      </w:r>
    </w:p>
    <w:tbl>
      <w:tblPr>
        <w:tblW w:type="pct" w:w="100%"/>
        <w:tblBorders>
          <w:top w:val="dashed" w:color="2E4B6B" w:sz="6"/>
          <w:left w:val="dashed" w:color="2E4B6B" w:sz="6"/>
          <w:bottom w:val="dashed" w:color="2E4B6B" w:sz="6"/>
          <w:right w:val="dashed" w:color="2E4B6B" w:sz="6"/>
          <w:insideH w:val="none" w:color="FFFFFF" w:sz="0"/>
          <w:insideV w:val="none" w:color="FFFFFF" w:sz="0"/>
        </w:tblBorders>
      </w:tblPr>
      <w:tblGrid>
        <w:gridCol w:w="100"/>
      </w:tblGrid>
      <w:tr>
        <w:tc>
          <w:tcPr>
            <w:shd w:fill="F2F5F8" w:val="clear"/>
            <w:tcMar>
              <w:top w:type="dxa" w:w="200"/>
              <w:left w:type="dxa" w:w="240"/>
              <w:bottom w:type="dxa" w:w="200"/>
              <w:right w:type="dxa" w:w="240"/>
            </w:tcMar>
            <w:vAlign w:val="center"/>
          </w:tcPr>
          <w:p>
            <w:pPr>
              <w:spacing w:after="60"/>
              <w:jc w:val="center"/>
            </w:pPr>
            <w:r>
              <w:rPr>
                <w:b/>
                <w:bCs/>
                <w:color w:val="2E4B6B"/>
                <w:sz w:val="20"/>
                <w:szCs w:val="20"/>
              </w:rPr>
              <w:t xml:space="preserve">🖼  Figure 4.1</w:t>
            </w:r>
          </w:p>
          <w:p>
            <w:pPr>
              <w:jc w:val="center"/>
            </w:pPr>
            <w:r>
              <w:rPr>
                <w:i/>
                <w:iCs/>
                <w:color w:val="3B3B3B"/>
                <w:sz w:val="20"/>
                <w:szCs w:val="20"/>
              </w:rPr>
              <w:t xml:space="preserve">Recreate the reconstruction pipeline flowchart from PIPELINE_GUIDE.md/README.md as a clean vector diagram: .obscan file → load_cloud() → fit_axis() → spherical_coords() → build_rho_grid() → cleanup (rules / learned) → grid_to_mesh() → mesh exports + volume/area.</w:t>
            </w:r>
          </w:p>
        </w:tc>
      </w:tr>
    </w:tbl>
    <w:p>
      <w:pPr>
        <w:spacing w:after="240"/>
      </w:pPr>
    </w:p>
    <w:p>
      <w:pPr>
        <w:pStyle w:val="Heading2"/>
        <w:spacing w:after="160" w:before="360"/>
      </w:pPr>
      <w:r>
        <w:rPr>
          <w:b/>
          <w:bCs/>
          <w:color w:val="1A1A1A"/>
        </w:rPr>
        <w:t xml:space="preserve">4.2 Rule-Based Cleanup (Production Default)</w:t>
      </w:r>
    </w:p>
    <w:p>
      <w:pPr>
        <w:spacing w:after="200" w:line="276"/>
        <w:jc w:val="both"/>
      </w:pPr>
      <w:r>
        <w:t xml:space="preserve">The rule-based cleanup stage — selected by `--cleanup rules`, the default — addresses three known failure modes of a raw polar-binned scan in sequence. First, `flatten_head_poles()` extrapolates missing near-pole rows on the flat end-caps using a flat-head secant law (ρ(el) = h / cos(el)), which prevents a spurious central spindle spike from forming where the scanner's own coverage thins out directly on-axis. Second, `detect_bung()` identifies the bung fitting itself — a compact, wall-only patch that rises more than a configured seed threshold (6 mm) above its row's median radius across at least a minimum number of connected cells (8), while explicitly rejecting azimuthally wide patches (over 90°) so a genuine ring-shaped geometric feature is never mistaken for a bung — and masks it out as a region to be filled rather than measured. Third, `fill_grid()` replaces bung cells, any remaining NaN cells, and gross outliers (departing their row's robust median by more than 12 mm, or backed by fewer than 4 raw points) with the rotationally-symmetric row-median wall value, and `smooth_grid()` applies a single light, crease-aware smoothing pass that treats the two crozehead corners as hard segment boundaries so sub-millimeter facet noise is removed without ever blurring the crease itself.</w:t>
      </w:r>
    </w:p>
    <w:p>
      <w:pPr>
        <w:pStyle w:val="Heading2"/>
        <w:spacing w:after="160" w:before="360"/>
      </w:pPr>
      <w:r>
        <w:rPr>
          <w:b/>
          <w:bCs/>
          <w:color w:val="1A1A1A"/>
        </w:rPr>
        <w:t xml:space="preserve">4.3 Learned Cleanup (In Development)</w:t>
      </w:r>
    </w:p>
    <w:p>
      <w:pPr>
        <w:spacing w:after="200" w:line="276"/>
        <w:jc w:val="both"/>
      </w:pPr>
      <w:r>
        <w:t xml:space="preserve">A parallel, learned cleanup path — selected by `--cleanup learned` — is under active development as a candidate replacement for the hand-tuned thresholds above, with the explicit goal of improving robustness on the head/pole region and around ambiguous bung geometry while still preserving the crozehead crease, and it is gated from becoming the default by the promotion rule in Section 5.4. It has two model stages, evaluated with real registered checkpoints in the repository (`models/point_classifier_best.pt`, 485 KB; `models/grid_denoiser_best.pt`, 12.5 MB):</w:t>
      </w:r>
    </w:p>
    <w:p>
      <w:pPr>
        <w:pStyle w:val="Heading3"/>
        <w:spacing w:after="120" w:before="240"/>
      </w:pPr>
      <w:r>
        <w:rPr>
          <w:b/>
          <w:bCs/>
          <w:i/>
          <w:iCs/>
        </w:rPr>
        <w:t xml:space="preserve">Point-level pre-filter (PointNet)</w:t>
      </w:r>
    </w:p>
    <w:p>
      <w:pPr>
        <w:spacing w:after="200" w:line="276"/>
        <w:jc w:val="both"/>
      </w:pPr>
      <w:r>
        <w:t xml:space="preserve">`barrel_denoise_points.py` implements a lightweight PointNet-style classifier that runs directly on the raw point cloud before it is binned into the polar grid, so stray floater points and interior-bung clutter never get the chance to corrupt a cell's robust median in the first place. Each point is represented by seven features — its position relative to its local k-nearest-neighbor mean, its unit normal, and a local PCA curvature score — passed through a per-point Conv1d MLP (7→64→128→256 channels), max-pooled across all points to form a single global shape descriptor, concatenated back onto every point's local features (512-dim), and decoded by a second per-point MLP down to a single outlier logit per point.</w:t>
      </w:r>
    </w:p>
    <w:p>
      <w:pPr>
        <w:pStyle w:val="Heading3"/>
        <w:spacing w:after="120" w:before="240"/>
      </w:pPr>
      <w:r>
        <w:rPr>
          <w:b/>
          <w:bCs/>
          <w:i/>
          <w:iCs/>
        </w:rPr>
        <w:t xml:space="preserve">Grid-level denoiser (GridUNet)</w:t>
      </w:r>
    </w:p>
    <w:p>
      <w:pPr>
        <w:spacing w:after="200" w:line="276"/>
        <w:jc w:val="both"/>
      </w:pPr>
      <w:r>
        <w:t xml:space="preserve">`barrel_denoise_grid.py` implements a compact four-level 2D U-Net that operates directly on the structured ρ(elevation, azimuth) height-field grid, taking four input channels (normalized radius offset, a curvature feature, per-cell point count as a confidence signal, and normalized polar angle) at a base width of 32 channels doubling at each of three downsampling levels. Every convolution in the network is a custom `CircularConv2d` that pads circularly along the azimuth axis and by reflection along the polar axis — a deliberate architectural choice that respects the barrel's actual cylindrical topology, so a defect straddling the 180°/−180° azimuth seam is convolved over correctly instead of being cut in half. The network has two output heads sharing the same decoder trunk: a residual radius-correction offset in metres, and a per-cell outlier/bung probability logit — letting the same forward pass both repair the grid and flag which cells it repaired.</w:t>
      </w:r>
    </w:p>
    <w:p>
      <w:pPr>
        <w:pStyle w:val="Heading3"/>
        <w:spacing w:after="120" w:before="240"/>
      </w:pPr>
      <w:r>
        <w:rPr>
          <w:b/>
          <w:bCs/>
          <w:i/>
          <w:iCs/>
        </w:rPr>
        <w:t xml:space="preserve">Synthetic training data</w:t>
      </w:r>
    </w:p>
    <w:p>
      <w:pPr>
        <w:spacing w:after="200" w:line="276"/>
        <w:jc w:val="both"/>
      </w:pPr>
      <w:r>
        <w:t xml:space="preserve">Because physically ground-truthed barrels are scarce and expensive to acquire, `barrel_synth.py` generates synthetic training barrels with a parametric profile calibrated to match real `.obscan` statistics, and injects realistic corruption: a bung fitting on ~40% of generated barrels, floater artifacts on ~50%, and a configurable head-region dropout rate to mimic the scanner's own known coverage gaps near the poles. `generate_gt_grid()` additionally produces the exact analytic ground-truth height field for each synthetic barrel, which is what makes the `gt_rms` metric in the evaluation harness (Section 5.3) possible at all — a comparison that is fundamentally unavailable on real scans, where the true internal surface is never known to sub-millimeter precision independently of the scan itself.</w:t>
      </w:r>
    </w:p>
    <w:p>
      <w:pPr>
        <w:pStyle w:val="Heading2"/>
        <w:spacing w:after="160" w:before="360"/>
      </w:pPr>
      <w:r>
        <w:rPr>
          <w:b/>
          <w:bCs/>
          <w:color w:val="1A1A1A"/>
        </w:rPr>
        <w:t xml:space="preserve">4.4 Model Promotion Governance</w:t>
      </w:r>
    </w:p>
    <w:p>
      <w:pPr>
        <w:spacing w:after="200" w:line="276"/>
        <w:jc w:val="both"/>
      </w:pPr>
      <w:r>
        <w:t xml:space="preserve">A learned checkpoint is never adopted as the pipeline default by simply "looking better" in a spot check. `docs/PROMOTION_RULE.md` defines four criteria that must all be satisfied simultaneously against the frozen, non-held-out validation manifest before a candidate `--cleanup learned` checkpoint is approved: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2E4B6B" w:val="clear"/>
            <w:tcMar>
              <w:top w:type="dxa" w:w="100"/>
              <w:left w:type="dxa" w:w="120"/>
              <w:bottom w:type="dxa" w:w="100"/>
              <w:right w:type="dxa" w:w="120"/>
            </w:tcMar>
            <w:vAlign w:val="center"/>
          </w:tcPr>
          <w:p>
            <w:r>
              <w:rPr>
                <w:b/>
                <w:bCs/>
                <w:color w:val="FFFFFF"/>
                <w:sz w:val="19"/>
                <w:szCs w:val="19"/>
              </w:rPr>
              <w:t xml:space="preserve">Criterion</w:t>
            </w:r>
          </w:p>
        </w:tc>
        <w:tc>
          <w:tcPr>
            <w:tcW w:type="dxa" w:w="6800"/>
            <w:shd w:fill="2E4B6B" w:val="clear"/>
            <w:tcMar>
              <w:top w:type="dxa" w:w="100"/>
              <w:left w:type="dxa" w:w="120"/>
              <w:bottom w:type="dxa" w:w="100"/>
              <w:right w:type="dxa" w:w="120"/>
            </w:tcMar>
            <w:vAlign w:val="center"/>
          </w:tcPr>
          <w:p>
            <w:r>
              <w:rPr>
                <w:b/>
                <w:bCs/>
                <w:color w:val="FFFFFF"/>
                <w:sz w:val="19"/>
                <w:szCs w:val="19"/>
              </w:rPr>
              <w:t xml:space="preserve">Requirement</w:t>
            </w:r>
          </w:p>
        </w:tc>
      </w:tr>
      <w:tr>
        <w:tc>
          <w:tcPr>
            <w:tcW w:type="dxa" w:w="3200"/>
            <w:tcMar>
              <w:top w:type="dxa" w:w="90"/>
              <w:left w:type="dxa" w:w="120"/>
              <w:bottom w:type="dxa" w:w="90"/>
              <w:right w:type="dxa" w:w="120"/>
            </w:tcMar>
          </w:tcPr>
          <w:p>
            <w:r>
              <w:rPr>
                <w:sz w:val="19"/>
                <w:szCs w:val="19"/>
              </w:rPr>
              <w:t xml:space="preserve">Accuracy superiority</w:t>
            </w:r>
          </w:p>
        </w:tc>
        <w:tc>
          <w:tcPr>
            <w:tcW w:type="dxa" w:w="6800"/>
            <w:tcMar>
              <w:top w:type="dxa" w:w="90"/>
              <w:left w:type="dxa" w:w="120"/>
              <w:bottom w:type="dxa" w:w="90"/>
              <w:right w:type="dxa" w:w="120"/>
            </w:tcMar>
          </w:tcPr>
          <w:p>
            <w:r>
              <w:rPr>
                <w:sz w:val="19"/>
                <w:szCs w:val="19"/>
              </w:rPr>
              <w:t xml:space="preserve">Mean absolute percent volume error must beat the rules baseline by ≥ 0.5 percentage points, with a paired Wilcoxon signed-rank or paired t-test at p &lt; 0.05.</w:t>
            </w:r>
          </w:p>
        </w:tc>
      </w:tr>
      <w:tr>
        <w:tc>
          <w:tcPr>
            <w:tcW w:type="dxa" w:w="3200"/>
            <w:shd w:fill="F5F7FA" w:val="clear"/>
            <w:tcMar>
              <w:top w:type="dxa" w:w="90"/>
              <w:left w:type="dxa" w:w="120"/>
              <w:bottom w:type="dxa" w:w="90"/>
              <w:right w:type="dxa" w:w="120"/>
            </w:tcMar>
          </w:tcPr>
          <w:p>
            <w:r>
              <w:rPr>
                <w:sz w:val="19"/>
                <w:szCs w:val="19"/>
              </w:rPr>
              <w:t xml:space="preserve">No gross degenerations</w:t>
            </w:r>
          </w:p>
        </w:tc>
        <w:tc>
          <w:tcPr>
            <w:tcW w:type="dxa" w:w="6800"/>
            <w:shd w:fill="F5F7FA" w:val="clear"/>
            <w:tcMar>
              <w:top w:type="dxa" w:w="90"/>
              <w:left w:type="dxa" w:w="120"/>
              <w:bottom w:type="dxa" w:w="90"/>
              <w:right w:type="dxa" w:w="120"/>
            </w:tcMar>
          </w:tcPr>
          <w:p>
            <w:r>
              <w:rPr>
                <w:sz w:val="19"/>
                <w:szCs w:val="19"/>
              </w:rPr>
              <w:t xml:space="preserve">Max single-barrel volume error ≤ 2.5 L (or 1.2%); zero barrels may regress by more than 1.0 L vs. rules.</w:t>
            </w:r>
          </w:p>
        </w:tc>
      </w:tr>
      <w:tr>
        <w:tc>
          <w:tcPr>
            <w:tcW w:type="dxa" w:w="3200"/>
            <w:tcMar>
              <w:top w:type="dxa" w:w="90"/>
              <w:left w:type="dxa" w:w="120"/>
              <w:bottom w:type="dxa" w:w="90"/>
              <w:right w:type="dxa" w:w="120"/>
            </w:tcMar>
          </w:tcPr>
          <w:p>
            <w:r>
              <w:rPr>
                <w:sz w:val="19"/>
                <w:szCs w:val="19"/>
              </w:rPr>
              <w:t xml:space="preserve">Topology guarantee</w:t>
            </w:r>
          </w:p>
        </w:tc>
        <w:tc>
          <w:tcPr>
            <w:tcW w:type="dxa" w:w="6800"/>
            <w:tcMar>
              <w:top w:type="dxa" w:w="90"/>
              <w:left w:type="dxa" w:w="120"/>
              <w:bottom w:type="dxa" w:w="90"/>
              <w:right w:type="dxa" w:w="120"/>
            </w:tcMar>
          </w:tcPr>
          <w:p>
            <w:r>
              <w:rPr>
                <w:sz w:val="19"/>
                <w:szCs w:val="19"/>
              </w:rPr>
              <w:t xml:space="preserve">100% of reconstructed meshes must be watertight, 2-manifold, closed, with zero non-manifold edges.</w:t>
            </w:r>
          </w:p>
        </w:tc>
      </w:tr>
      <w:tr>
        <w:tc>
          <w:tcPr>
            <w:tcW w:type="dxa" w:w="3200"/>
            <w:shd w:fill="F5F7FA" w:val="clear"/>
            <w:tcMar>
              <w:top w:type="dxa" w:w="90"/>
              <w:left w:type="dxa" w:w="120"/>
              <w:bottom w:type="dxa" w:w="90"/>
              <w:right w:type="dxa" w:w="120"/>
            </w:tcMar>
          </w:tcPr>
          <w:p>
            <w:r>
              <w:rPr>
                <w:sz w:val="19"/>
                <w:szCs w:val="19"/>
              </w:rPr>
              <w:t xml:space="preserve">Held-out confirmation</w:t>
            </w:r>
          </w:p>
        </w:tc>
        <w:tc>
          <w:tcPr>
            <w:tcW w:type="dxa" w:w="6800"/>
            <w:shd w:fill="F5F7FA" w:val="clear"/>
            <w:tcMar>
              <w:top w:type="dxa" w:w="90"/>
              <w:left w:type="dxa" w:w="120"/>
              <w:bottom w:type="dxa" w:w="90"/>
              <w:right w:type="dxa" w:w="120"/>
            </w:tcMar>
          </w:tcPr>
          <w:p>
            <w:r>
              <w:rPr>
                <w:sz w:val="19"/>
                <w:szCs w:val="19"/>
              </w:rPr>
              <w:t xml:space="preserve">The never-touched held-out subset (held_out = TRUE) must independently confirm the accuracy gain, with no degradation vs. the development subset.</w:t>
            </w:r>
          </w:p>
        </w:tc>
      </w:tr>
    </w:tbl>
    <w:p>
      <w:pPr>
        <w:spacing w:after="240"/>
      </w:pPr>
    </w:p>
    <w:p>
      <w:pPr>
        <w:spacing w:after="200" w:line="276"/>
        <w:jc w:val="both"/>
      </w:pPr>
      <w:r>
        <w:t xml:space="preserve">If any criterion fails, the checkpoint is not promoted and the deterministic rules path remains the default. Promoted checkpoints are versioned with a timestamp tag alongside a full paper trail (`validation_summary.csv`, `validation_results.csv`, and the exact git commit hash of the manifest used to justify the promotion), and `reconstruction/check_regression.py` runs as an automated pre-merge CI gate on every pull request touching model architecture or reconstruction logic, failing the build outright if mean absolute percent error regresses by more than 0.1% or if watertightness drops versus the recorded baseline.</w:t>
      </w:r>
    </w:p>
    <w:p>
      <w:pPr>
        <w:pStyle w:val="Heading1"/>
        <w:pageBreakBefore/>
        <w:spacing w:after="240" w:before="480"/>
      </w:pPr>
      <w:r>
        <w:rPr>
          <w:b/>
          <w:bCs/>
          <w:color w:val="2E4B6B"/>
        </w:rPr>
        <w:t xml:space="preserve">Chapter 5 — Evaluation Methodology and Validation Framework</w:t>
      </w:r>
    </w:p>
    <w:p>
      <w:pPr>
        <w:pStyle w:val="Heading2"/>
        <w:spacing w:after="160" w:before="360"/>
      </w:pPr>
      <w:r>
        <w:rPr>
          <w:b/>
          <w:bCs/>
          <w:color w:val="1A1A1A"/>
        </w:rPr>
        <w:t xml:space="preserve">5.1 Physical Ground-Truth Protocol</w:t>
      </w:r>
    </w:p>
    <w:p>
      <w:pPr>
        <w:spacing w:after="200" w:line="276"/>
        <w:jc w:val="both"/>
      </w:pPr>
      <w:r>
        <w:t xml:space="preserve">`docs/GROUND_TRUTH_PROTOCOL.md` defines three acceptable methods for establishing a barrel's ground-truth volume, used in order of preference as equipment availability allows: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2400"/>
      </w:tblGrid>
      <w:tr>
        <w:trPr>
          <w:tblHeader/>
        </w:trPr>
        <w:tc>
          <w:tcPr>
            <w:tcW w:type="dxa" w:w="3400"/>
            <w:shd w:fill="2E4B6B" w:val="clear"/>
            <w:tcMar>
              <w:top w:type="dxa" w:w="100"/>
              <w:left w:type="dxa" w:w="120"/>
              <w:bottom w:type="dxa" w:w="100"/>
              <w:right w:type="dxa" w:w="120"/>
            </w:tcMar>
            <w:vAlign w:val="center"/>
          </w:tcPr>
          <w:p>
            <w:r>
              <w:rPr>
                <w:b/>
                <w:bCs/>
                <w:color w:val="FFFFFF"/>
                <w:sz w:val="19"/>
                <w:szCs w:val="19"/>
              </w:rPr>
              <w:t xml:space="preserve">Method</w:t>
            </w:r>
          </w:p>
        </w:tc>
        <w:tc>
          <w:tcPr>
            <w:tcW w:type="dxa" w:w="4200"/>
            <w:shd w:fill="2E4B6B" w:val="clear"/>
            <w:tcMar>
              <w:top w:type="dxa" w:w="100"/>
              <w:left w:type="dxa" w:w="120"/>
              <w:bottom w:type="dxa" w:w="100"/>
              <w:right w:type="dxa" w:w="120"/>
            </w:tcMar>
            <w:vAlign w:val="center"/>
          </w:tcPr>
          <w:p>
            <w:r>
              <w:rPr>
                <w:b/>
                <w:bCs/>
                <w:color w:val="FFFFFF"/>
                <w:sz w:val="19"/>
                <w:szCs w:val="19"/>
              </w:rPr>
              <w:t xml:space="preserve">Basis</w:t>
            </w:r>
          </w:p>
        </w:tc>
        <w:tc>
          <w:tcPr>
            <w:tcW w:type="dxa" w:w="2400"/>
            <w:shd w:fill="2E4B6B" w:val="clear"/>
            <w:tcMar>
              <w:top w:type="dxa" w:w="100"/>
              <w:left w:type="dxa" w:w="120"/>
              <w:bottom w:type="dxa" w:w="100"/>
              <w:right w:type="dxa" w:w="120"/>
            </w:tcMar>
            <w:vAlign w:val="center"/>
          </w:tcPr>
          <w:p>
            <w:r>
              <w:rPr>
                <w:b/>
                <w:bCs/>
                <w:color w:val="FFFFFF"/>
                <w:sz w:val="19"/>
                <w:szCs w:val="19"/>
              </w:rPr>
              <w:t xml:space="preserve">Stated Uncertainty</w:t>
            </w:r>
          </w:p>
        </w:tc>
      </w:tr>
      <w:tr>
        <w:tc>
          <w:tcPr>
            <w:tcW w:type="dxa" w:w="3400"/>
            <w:tcMar>
              <w:top w:type="dxa" w:w="90"/>
              <w:left w:type="dxa" w:w="120"/>
              <w:bottom w:type="dxa" w:w="90"/>
              <w:right w:type="dxa" w:w="120"/>
            </w:tcMar>
          </w:tcPr>
          <w:p>
            <w:r>
              <w:rPr>
                <w:sz w:val="19"/>
                <w:szCs w:val="19"/>
              </w:rPr>
              <w:t xml:space="preserve">A — Mass-based water fill</w:t>
            </w:r>
          </w:p>
        </w:tc>
        <w:tc>
          <w:tcPr>
            <w:tcW w:type="dxa" w:w="4200"/>
            <w:tcMar>
              <w:top w:type="dxa" w:w="90"/>
              <w:left w:type="dxa" w:w="120"/>
              <w:bottom w:type="dxa" w:w="90"/>
              <w:right w:type="dxa" w:w="120"/>
            </w:tcMar>
          </w:tcPr>
          <w:p>
            <w:r>
              <w:rPr>
                <w:sz w:val="19"/>
                <w:szCs w:val="19"/>
              </w:rPr>
              <w:t xml:space="preserve">V = M_water / ρ_water(T) × 1000, from a direct fill mass and temperature reading</w:t>
            </w:r>
          </w:p>
        </w:tc>
        <w:tc>
          <w:tcPr>
            <w:tcW w:type="dxa" w:w="2400"/>
            <w:tcMar>
              <w:top w:type="dxa" w:w="90"/>
              <w:left w:type="dxa" w:w="120"/>
              <w:bottom w:type="dxa" w:w="90"/>
              <w:right w:type="dxa" w:w="120"/>
            </w:tcMar>
          </w:tcPr>
          <w:p>
            <w:r>
              <w:rPr>
                <w:sz w:val="19"/>
                <w:szCs w:val="19"/>
              </w:rPr>
              <w:t xml:space="preserve">Instrument-limited (highest fidelity)</w:t>
            </w:r>
          </w:p>
        </w:tc>
      </w:tr>
      <w:tr>
        <w:tc>
          <w:tcPr>
            <w:tcW w:type="dxa" w:w="3400"/>
            <w:shd w:fill="F5F7FA" w:val="clear"/>
            <w:tcMar>
              <w:top w:type="dxa" w:w="90"/>
              <w:left w:type="dxa" w:w="120"/>
              <w:bottom w:type="dxa" w:w="90"/>
              <w:right w:type="dxa" w:w="120"/>
            </w:tcMar>
          </w:tcPr>
          <w:p>
            <w:r>
              <w:rPr>
                <w:sz w:val="19"/>
                <w:szCs w:val="19"/>
              </w:rPr>
              <w:t xml:space="preserve">B — Caliper profile + analytic frustum</w:t>
            </w:r>
          </w:p>
        </w:tc>
        <w:tc>
          <w:tcPr>
            <w:tcW w:type="dxa" w:w="4200"/>
            <w:shd w:fill="F5F7FA" w:val="clear"/>
            <w:tcMar>
              <w:top w:type="dxa" w:w="90"/>
              <w:left w:type="dxa" w:w="120"/>
              <w:bottom w:type="dxa" w:w="90"/>
              <w:right w:type="dxa" w:w="120"/>
            </w:tcMar>
          </w:tcPr>
          <w:p>
            <w:r>
              <w:rPr>
                <w:sz w:val="19"/>
                <w:szCs w:val="19"/>
              </w:rPr>
              <w:t xml:space="preserve">V = (πL/12)(2·D_bilge² + D_head²) from head/bilge diameters and axial span</w:t>
            </w:r>
          </w:p>
        </w:tc>
        <w:tc>
          <w:tcPr>
            <w:tcW w:type="dxa" w:w="2400"/>
            <w:shd w:fill="F5F7FA" w:val="clear"/>
            <w:tcMar>
              <w:top w:type="dxa" w:w="90"/>
              <w:left w:type="dxa" w:w="120"/>
              <w:bottom w:type="dxa" w:w="90"/>
              <w:right w:type="dxa" w:w="120"/>
            </w:tcMar>
          </w:tcPr>
          <w:p>
            <w:r>
              <w:rPr>
                <w:sz w:val="19"/>
                <w:szCs w:val="19"/>
              </w:rPr>
              <w:t xml:space="preserve">± 0.5 L</w:t>
            </w:r>
          </w:p>
        </w:tc>
      </w:tr>
      <w:tr>
        <w:tc>
          <w:tcPr>
            <w:tcW w:type="dxa" w:w="3400"/>
            <w:tcMar>
              <w:top w:type="dxa" w:w="90"/>
              <w:left w:type="dxa" w:w="120"/>
              <w:bottom w:type="dxa" w:w="90"/>
              <w:right w:type="dxa" w:w="120"/>
            </w:tcMar>
          </w:tcPr>
          <w:p>
            <w:r>
              <w:rPr>
                <w:sz w:val="19"/>
                <w:szCs w:val="19"/>
              </w:rPr>
              <w:t xml:space="preserve">C — Certified cooper nominal capacity</w:t>
            </w:r>
          </w:p>
        </w:tc>
        <w:tc>
          <w:tcPr>
            <w:tcW w:type="dxa" w:w="4200"/>
            <w:tcMar>
              <w:top w:type="dxa" w:w="90"/>
              <w:left w:type="dxa" w:w="120"/>
              <w:bottom w:type="dxa" w:w="90"/>
              <w:right w:type="dxa" w:w="120"/>
            </w:tcMar>
          </w:tcPr>
          <w:p>
            <w:r>
              <w:rPr>
                <w:sz w:val="19"/>
                <w:szCs w:val="19"/>
              </w:rPr>
              <w:t xml:space="preserve">Manufacturer-rated nominal volume used as a baseline when no physical measurement is available</w:t>
            </w:r>
          </w:p>
        </w:tc>
        <w:tc>
          <w:tcPr>
            <w:tcW w:type="dxa" w:w="2400"/>
            <w:tcMar>
              <w:top w:type="dxa" w:w="90"/>
              <w:left w:type="dxa" w:w="120"/>
              <w:bottom w:type="dxa" w:w="90"/>
              <w:right w:type="dxa" w:w="120"/>
            </w:tcMar>
          </w:tcPr>
          <w:p>
            <w:r>
              <w:rPr>
                <w:sz w:val="19"/>
                <w:szCs w:val="19"/>
              </w:rPr>
              <w:t xml:space="preserve">± 2.5 L (~1.0% mfg. variance)</w:t>
            </w:r>
          </w:p>
        </w:tc>
      </w:tr>
    </w:tbl>
    <w:p>
      <w:pPr>
        <w:spacing w:after="240"/>
      </w:pPr>
    </w:p>
    <w:p>
      <w:pPr>
        <w:spacing w:after="200" w:line="276"/>
        <w:jc w:val="both"/>
      </w:pPr>
      <w:r>
        <w:t xml:space="preserve">Because internal surface area cannot be measured physically without destructive sectioning, surface area is instead validated through geometric mesh-quality proxies — 100% closed 2-manifold watertightness, RMS point-to-mesh residual, and a zero degenerate-face count — rather than an independent physical figure. A documented repeatability protocol additionally establishes the noise floor of the ground-truth measurement process itself: at least three representative barrels are re-measured three times each (drain, dry, re-tare, re-fill), and any reconstruction error smaller than the resulting measurement noise floor is treated as statistically indistinguishable from ground-truth noise rather than as a pipeline error.</w:t>
      </w:r>
    </w:p>
    <w:p>
      <w:pPr>
        <w:pStyle w:val="Heading2"/>
        <w:spacing w:after="160" w:before="360"/>
      </w:pPr>
      <w:r>
        <w:rPr>
          <w:b/>
          <w:bCs/>
          <w:color w:val="1A1A1A"/>
        </w:rPr>
        <w:t xml:space="preserve">5.2 Frozen and Held-Out Validation Discipline</w:t>
      </w:r>
    </w:p>
    <w:p>
      <w:pPr>
        <w:spacing w:after="200" w:line="276"/>
        <w:jc w:val="both"/>
      </w:pPr>
      <w:r>
        <w:t xml:space="preserve">`data/validation_set/` is designed around a frozen-manifest discipline standard in rigorous ML evaluation: every `.obscan` scan and its ground-truth row live in a versioned `validation_manifest.csv`, barrels are not to be selectively added or dropped once evaluation begins, and any barrel flagged `held_out = TRUE` is reserved exclusively for final promotion confirmation and must never be used during development or hyperparameter tuning. As of this writing, the manifest contains two placeholder sample rows (`B001_SAMPLE`, `B002_SAMPLE`, one of which is flagged held-out) that exercise the schema and the evaluation code path end-to-end, but the manifest has not yet been populated with real, physically ground-truthed barrels — the framework is built and proven mechanically; production accuracy figures against real barrels are a near-term next step rather than a result this report can report today (see Section 6.1).</w:t>
      </w:r>
    </w:p>
    <w:p>
      <w:pPr>
        <w:pStyle w:val="Heading2"/>
        <w:spacing w:after="160" w:before="360"/>
      </w:pPr>
      <w:r>
        <w:rPr>
          <w:b/>
          <w:bCs/>
          <w:color w:val="1A1A1A"/>
        </w:rPr>
        <w:t xml:space="preserve">5.3 Evaluation Harness Metrics</w:t>
      </w:r>
    </w:p>
    <w:p>
      <w:pPr>
        <w:spacing w:after="200" w:line="276"/>
        <w:jc w:val="both"/>
      </w:pPr>
      <w:r>
        <w:t xml:space="preserve">`reconstruction/barrel_eval.py` and `reconstruction/validate_accuracy.py` together implement a multi-metric evaluation harness that runs every candidate cleanup method against the manifest and reports both per-barrel and aggregate statistics:</w:t>
      </w:r>
    </w:p>
    <w:p>
      <w:pPr>
        <w:pStyle w:val="ListParagraph"/>
        <w:numPr>
          <w:ilvl w:val="0"/>
          <w:numId w:val="1"/>
        </w:numPr>
        <w:spacing w:after="100"/>
      </w:pPr>
      <w:r>
        <w:t xml:space="preserve">Fidelity RMS / P95 / max (mm) — residual of every retained input point against the cleaned grid surface, excluding cells the cleanup stage itself flagged as filled/replaced.</w:t>
      </w:r>
    </w:p>
    <w:p>
      <w:pPr>
        <w:pStyle w:val="ListParagraph"/>
        <w:numPr>
          <w:ilvl w:val="0"/>
          <w:numId w:val="1"/>
        </w:numPr>
        <w:spacing w:after="100"/>
      </w:pPr>
      <w:r>
        <w:t xml:space="preserve">Crozehead-band RMS (mm) — fidelity restricted to points within a configurable angular band of either crozehead corner, tracking the specific region the pipeline is most deliberately engineered to preserve sharply.</w:t>
      </w:r>
    </w:p>
    <w:p>
      <w:pPr>
        <w:pStyle w:val="ListParagraph"/>
        <w:numPr>
          <w:ilvl w:val="0"/>
          <w:numId w:val="1"/>
        </w:numPr>
        <w:spacing w:after="100"/>
      </w:pPr>
      <w:r>
        <w:t xml:space="preserve">Head/pole RMS (mm) — fidelity restricted to the near-pole rows, tracking exactly the failure mode the flat-head secant-law extrapolation exists to prevent.</w:t>
      </w:r>
    </w:p>
    <w:p>
      <w:pPr>
        <w:pStyle w:val="ListParagraph"/>
        <w:numPr>
          <w:ilvl w:val="0"/>
          <w:numId w:val="1"/>
        </w:numPr>
        <w:spacing w:after="100"/>
      </w:pPr>
      <w:r>
        <w:t xml:space="preserve">Asymmetry RMS (mm) — departure of the cleaned grid from a true surface of revolution, computed against each row's own azimuthal median.</w:t>
      </w:r>
    </w:p>
    <w:p>
      <w:pPr>
        <w:pStyle w:val="ListParagraph"/>
        <w:numPr>
          <w:ilvl w:val="0"/>
          <w:numId w:val="1"/>
        </w:numPr>
        <w:spacing w:after="100"/>
      </w:pPr>
      <w:r>
        <w:t xml:space="preserve">Volume signed/absolute/percent error (L, %) and "within ground-truth uncertainty band" — the reconstructed volume compared directly against the manifest's physical ground truth, aggregated per method as mean, median, RMSE, and max absolute error, plus the percentage of barrels landing inside their own stated ground-truth uncertainty.</w:t>
      </w:r>
    </w:p>
    <w:p>
      <w:pPr>
        <w:pStyle w:val="ListParagraph"/>
        <w:numPr>
          <w:ilvl w:val="0"/>
          <w:numId w:val="1"/>
        </w:numPr>
        <w:spacing w:after="100"/>
      </w:pPr>
      <w:r>
        <w:t xml:space="preserve">Watertightness (%) — the share of reconstructed meshes that are fully closed, 2-manifold, with zero non-manifold edges.</w:t>
      </w:r>
    </w:p>
    <w:p>
      <w:pPr>
        <w:spacing w:after="200" w:line="276"/>
        <w:jc w:val="both"/>
      </w:pPr>
      <w:r>
        <w:t xml:space="preserve">`validate_accuracy.py --report` additionally auto-generates a Markdown accuracy report (`docs/ACCURACY_REPORT.md`) with an aggregate method-comparison table and a full per-barrel results table, so an evaluation run always leaves behind a reviewable artifact rather than only console output.</w:t>
      </w:r>
    </w:p>
    <w:tbl>
      <w:tblPr>
        <w:tblW w:type="pct" w:w="100%"/>
        <w:tblBorders>
          <w:top w:val="dashed" w:color="2E4B6B" w:sz="6"/>
          <w:left w:val="dashed" w:color="2E4B6B" w:sz="6"/>
          <w:bottom w:val="dashed" w:color="2E4B6B" w:sz="6"/>
          <w:right w:val="dashed" w:color="2E4B6B" w:sz="6"/>
          <w:insideH w:val="none" w:color="FFFFFF" w:sz="0"/>
          <w:insideV w:val="none" w:color="FFFFFF" w:sz="0"/>
        </w:tblBorders>
      </w:tblPr>
      <w:tblGrid>
        <w:gridCol w:w="100"/>
      </w:tblGrid>
      <w:tr>
        <w:tc>
          <w:tcPr>
            <w:shd w:fill="F2F5F8" w:val="clear"/>
            <w:tcMar>
              <w:top w:type="dxa" w:w="200"/>
              <w:left w:type="dxa" w:w="240"/>
              <w:bottom w:type="dxa" w:w="200"/>
              <w:right w:type="dxa" w:w="240"/>
            </w:tcMar>
            <w:vAlign w:val="center"/>
          </w:tcPr>
          <w:p>
            <w:pPr>
              <w:spacing w:after="60"/>
              <w:jc w:val="center"/>
            </w:pPr>
            <w:r>
              <w:rPr>
                <w:b/>
                <w:bCs/>
                <w:color w:val="2E4B6B"/>
                <w:sz w:val="20"/>
                <w:szCs w:val="20"/>
              </w:rPr>
              <w:t xml:space="preserve">🖼  Figure 5.1</w:t>
            </w:r>
          </w:p>
          <w:p>
            <w:pPr>
              <w:jc w:val="center"/>
            </w:pPr>
            <w:r>
              <w:rPr>
                <w:i/>
                <w:iCs/>
                <w:color w:val="3B3B3B"/>
                <w:sz w:val="20"/>
                <w:szCs w:val="20"/>
              </w:rPr>
              <w:t xml:space="preserve">Bar chart comparing rules vs. learned cleanup on the metrics above (fidelity RMS, crozehead RMS, head/pole RMS, asymmetry RMS, volume % error) once the validation manifest is populated with real barrels — this is the chart the promotion decision in Section 4.4 will ultimately be made from.</w:t>
            </w:r>
          </w:p>
        </w:tc>
      </w:tr>
    </w:tbl>
    <w:p>
      <w:pPr>
        <w:spacing w:after="240"/>
      </w:pPr>
    </w:p>
    <w:tbl>
      <w:tblPr>
        <w:tblW w:type="pct" w:w="100%"/>
        <w:tblBorders>
          <w:top w:val="dashed" w:color="2E4B6B" w:sz="6"/>
          <w:left w:val="dashed" w:color="2E4B6B" w:sz="6"/>
          <w:bottom w:val="dashed" w:color="2E4B6B" w:sz="6"/>
          <w:right w:val="dashed" w:color="2E4B6B" w:sz="6"/>
          <w:insideH w:val="none" w:color="FFFFFF" w:sz="0"/>
          <w:insideV w:val="none" w:color="FFFFFF" w:sz="0"/>
        </w:tblBorders>
      </w:tblPr>
      <w:tblGrid>
        <w:gridCol w:w="100"/>
      </w:tblGrid>
      <w:tr>
        <w:tc>
          <w:tcPr>
            <w:shd w:fill="F2F5F8" w:val="clear"/>
            <w:tcMar>
              <w:top w:type="dxa" w:w="200"/>
              <w:left w:type="dxa" w:w="240"/>
              <w:bottom w:type="dxa" w:w="200"/>
              <w:right w:type="dxa" w:w="240"/>
            </w:tcMar>
            <w:vAlign w:val="center"/>
          </w:tcPr>
          <w:p>
            <w:pPr>
              <w:spacing w:after="60"/>
              <w:jc w:val="center"/>
            </w:pPr>
            <w:r>
              <w:rPr>
                <w:b/>
                <w:bCs/>
                <w:color w:val="2E4B6B"/>
                <w:sz w:val="20"/>
                <w:szCs w:val="20"/>
              </w:rPr>
              <w:t xml:space="preserve">🖼  Figure 5.2</w:t>
            </w:r>
          </w:p>
          <w:p>
            <w:pPr>
              <w:jc w:val="center"/>
            </w:pPr>
            <w:r>
              <w:rPr>
                <w:i/>
                <w:iCs/>
                <w:color w:val="3B3B3B"/>
                <w:sz w:val="20"/>
                <w:szCs w:val="20"/>
              </w:rPr>
              <w:t xml:space="preserve">Side-by-side rendered mesh screenshots (or a difference heat-map) of the same barrel reconstructed with --cleanup rules vs. --cleanup learned, and a synthetic-barrel example showing the ground-truth grid overlaid against the reconstruction.</w:t>
            </w:r>
          </w:p>
        </w:tc>
      </w:tr>
    </w:tbl>
    <w:p>
      <w:pPr>
        <w:spacing w:after="240"/>
      </w:pPr>
    </w:p>
    <w:p>
      <w:pPr>
        <w:pStyle w:val="Heading2"/>
        <w:spacing w:after="160" w:before="360"/>
      </w:pPr>
      <w:r>
        <w:rPr>
          <w:b/>
          <w:bCs/>
          <w:color w:val="1A1A1A"/>
        </w:rPr>
        <w:t xml:space="preserve">5.4 Current Validation Status</w:t>
      </w:r>
    </w:p>
    <w:p>
      <w:pPr>
        <w:spacing w:after="200" w:line="276"/>
        <w:jc w:val="both"/>
      </w:pPr>
      <w:r>
        <w:t xml:space="preserve">At the time of writing, every component of the evaluation framework described above is implemented and runs correctly end-to-end — verified against synthetic barrels with known analytic ground truth via `barrel_eval.py --synthetic` and `validate_accuracy.py --synthetic-smoke-test`, and against the two placeholder manifest rows exercising the real-scan code path. What is not yet available is a populated set of physically ground-truthed real barrels large enough to report a defensible production MAPE, held-out confirmation, or a promotion decision for the learned cleanup path. Closing that gap — running the ground-truth protocol in Section 5.1 against a representative sample of real barrels and populating the frozen manifest — is the single highest-priority item standing between the system as built and a quantitative accuracy claim the team would be comfortable putting in front of a customer.</w:t>
      </w:r>
    </w:p>
    <w:p>
      <w:pPr>
        <w:pStyle w:val="Heading1"/>
        <w:pageBreakBefore/>
        <w:spacing w:after="240" w:before="480"/>
      </w:pPr>
      <w:r>
        <w:rPr>
          <w:b/>
          <w:bCs/>
          <w:color w:val="2E4B6B"/>
        </w:rPr>
        <w:t xml:space="preserve">Chapter 6 — Project Status, Risks, and Path to Production</w:t>
      </w:r>
    </w:p>
    <w:p>
      <w:pPr>
        <w:pStyle w:val="Heading2"/>
        <w:spacing w:after="160" w:before="360"/>
      </w:pPr>
      <w:r>
        <w:rPr>
          <w:b/>
          <w:bCs/>
          <w:color w:val="1A1A1A"/>
        </w:rPr>
        <w:t xml:space="preserve">6.1 Status Against the Eight-Week Milestone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3200"/>
      </w:tblGrid>
      <w:tr>
        <w:trPr>
          <w:tblHeader/>
        </w:trPr>
        <w:tc>
          <w:tcPr>
            <w:tcW w:type="dxa" w:w="1600"/>
            <w:shd w:fill="2E4B6B" w:val="clear"/>
            <w:tcMar>
              <w:top w:type="dxa" w:w="100"/>
              <w:left w:type="dxa" w:w="120"/>
              <w:bottom w:type="dxa" w:w="100"/>
              <w:right w:type="dxa" w:w="120"/>
            </w:tcMar>
            <w:vAlign w:val="center"/>
          </w:tcPr>
          <w:p>
            <w:r>
              <w:rPr>
                <w:b/>
                <w:bCs/>
                <w:color w:val="FFFFFF"/>
                <w:sz w:val="19"/>
                <w:szCs w:val="19"/>
              </w:rPr>
              <w:t xml:space="preserve">Phase</w:t>
            </w:r>
          </w:p>
        </w:tc>
        <w:tc>
          <w:tcPr>
            <w:tcW w:type="dxa" w:w="5200"/>
            <w:shd w:fill="2E4B6B" w:val="clear"/>
            <w:tcMar>
              <w:top w:type="dxa" w:w="100"/>
              <w:left w:type="dxa" w:w="120"/>
              <w:bottom w:type="dxa" w:w="100"/>
              <w:right w:type="dxa" w:w="120"/>
            </w:tcMar>
            <w:vAlign w:val="center"/>
          </w:tcPr>
          <w:p>
            <w:r>
              <w:rPr>
                <w:b/>
                <w:bCs/>
                <w:color w:val="FFFFFF"/>
                <w:sz w:val="19"/>
                <w:szCs w:val="19"/>
              </w:rPr>
              <w:t xml:space="preserve">Objectives</w:t>
            </w:r>
          </w:p>
        </w:tc>
        <w:tc>
          <w:tcPr>
            <w:tcW w:type="dxa" w:w="3200"/>
            <w:shd w:fill="2E4B6B" w:val="clear"/>
            <w:tcMar>
              <w:top w:type="dxa" w:w="100"/>
              <w:left w:type="dxa" w:w="120"/>
              <w:bottom w:type="dxa" w:w="100"/>
              <w:right w:type="dxa" w:w="120"/>
            </w:tcMar>
            <w:vAlign w:val="center"/>
          </w:tcPr>
          <w:p>
            <w:r>
              <w:rPr>
                <w:b/>
                <w:bCs/>
                <w:color w:val="FFFFFF"/>
                <w:sz w:val="19"/>
                <w:szCs w:val="19"/>
              </w:rPr>
              <w:t xml:space="preserve">Status as of Aug. 19, 2026</w:t>
            </w:r>
          </w:p>
        </w:tc>
      </w:tr>
      <w:tr>
        <w:tc>
          <w:tcPr>
            <w:tcW w:type="dxa" w:w="1600"/>
            <w:tcMar>
              <w:top w:type="dxa" w:w="90"/>
              <w:left w:type="dxa" w:w="120"/>
              <w:bottom w:type="dxa" w:w="90"/>
              <w:right w:type="dxa" w:w="120"/>
            </w:tcMar>
          </w:tcPr>
          <w:p>
            <w:r>
              <w:rPr>
                <w:sz w:val="19"/>
                <w:szCs w:val="19"/>
              </w:rPr>
              <w:t xml:space="preserve">Weeks 1–2</w:t>
            </w:r>
          </w:p>
        </w:tc>
        <w:tc>
          <w:tcPr>
            <w:tcW w:type="dxa" w:w="5200"/>
            <w:tcMar>
              <w:top w:type="dxa" w:w="90"/>
              <w:left w:type="dxa" w:w="120"/>
              <w:bottom w:type="dxa" w:w="90"/>
              <w:right w:type="dxa" w:w="120"/>
            </w:tcMar>
          </w:tcPr>
          <w:p>
            <w:r>
              <w:rPr>
                <w:sz w:val="19"/>
                <w:szCs w:val="19"/>
              </w:rPr>
              <w:t xml:space="preserve">Mechanical design review &amp; bench setup; verify serial comms and PyAutoGUI environment</w:t>
            </w:r>
          </w:p>
        </w:tc>
        <w:tc>
          <w:tcPr>
            <w:tcW w:type="dxa" w:w="3200"/>
            <w:tcMar>
              <w:top w:type="dxa" w:w="90"/>
              <w:left w:type="dxa" w:w="120"/>
              <w:bottom w:type="dxa" w:w="90"/>
              <w:right w:type="dxa" w:w="120"/>
            </w:tcMar>
          </w:tcPr>
          <w:p>
            <w:r>
              <w:rPr>
                <w:sz w:val="19"/>
                <w:szCs w:val="19"/>
              </w:rPr>
              <w:t xml:space="preserve">Complete</w:t>
            </w:r>
          </w:p>
        </w:tc>
      </w:tr>
      <w:tr>
        <w:tc>
          <w:tcPr>
            <w:tcW w:type="dxa" w:w="1600"/>
            <w:shd w:fill="F5F7FA" w:val="clear"/>
            <w:tcMar>
              <w:top w:type="dxa" w:w="90"/>
              <w:left w:type="dxa" w:w="120"/>
              <w:bottom w:type="dxa" w:w="90"/>
              <w:right w:type="dxa" w:w="120"/>
            </w:tcMar>
          </w:tcPr>
          <w:p>
            <w:r>
              <w:rPr>
                <w:sz w:val="19"/>
                <w:szCs w:val="19"/>
              </w:rPr>
              <w:t xml:space="preserve">Weeks 3–4</w:t>
            </w:r>
          </w:p>
        </w:tc>
        <w:tc>
          <w:tcPr>
            <w:tcW w:type="dxa" w:w="5200"/>
            <w:shd w:fill="F5F7FA" w:val="clear"/>
            <w:tcMar>
              <w:top w:type="dxa" w:w="90"/>
              <w:left w:type="dxa" w:w="120"/>
              <w:bottom w:type="dxa" w:w="90"/>
              <w:right w:type="dxa" w:w="120"/>
            </w:tcMar>
          </w:tcPr>
          <w:p>
            <w:r>
              <w:rPr>
                <w:sz w:val="19"/>
                <w:szCs w:val="19"/>
              </w:rPr>
              <w:t xml:space="preserve">Single-motor jog functions; unified DualAxisController (pymodbus); CustomTkinter app_gui.py with sliders, position readback, e-stop</w:t>
            </w:r>
          </w:p>
        </w:tc>
        <w:tc>
          <w:tcPr>
            <w:tcW w:type="dxa" w:w="3200"/>
            <w:shd w:fill="F5F7FA" w:val="clear"/>
            <w:tcMar>
              <w:top w:type="dxa" w:w="90"/>
              <w:left w:type="dxa" w:w="120"/>
              <w:bottom w:type="dxa" w:w="90"/>
              <w:right w:type="dxa" w:w="120"/>
            </w:tcMar>
          </w:tcPr>
          <w:p>
            <w:r>
              <w:rPr>
                <w:sz w:val="19"/>
                <w:szCs w:val="19"/>
              </w:rPr>
              <w:t xml:space="preserve">Complete — GUI state machine, protractor widget, and technician frame implemented</w:t>
            </w:r>
          </w:p>
        </w:tc>
      </w:tr>
      <w:tr>
        <w:tc>
          <w:tcPr>
            <w:tcW w:type="dxa" w:w="1600"/>
            <w:tcMar>
              <w:top w:type="dxa" w:w="90"/>
              <w:left w:type="dxa" w:w="120"/>
              <w:bottom w:type="dxa" w:w="90"/>
              <w:right w:type="dxa" w:w="120"/>
            </w:tcMar>
          </w:tcPr>
          <w:p>
            <w:r>
              <w:rPr>
                <w:sz w:val="19"/>
                <w:szCs w:val="19"/>
              </w:rPr>
              <w:t xml:space="preserve">Weeks 5–6</w:t>
            </w:r>
          </w:p>
        </w:tc>
        <w:tc>
          <w:tcPr>
            <w:tcW w:type="dxa" w:w="5200"/>
            <w:tcMar>
              <w:top w:type="dxa" w:w="90"/>
              <w:left w:type="dxa" w:w="120"/>
              <w:bottom w:type="dxa" w:w="90"/>
              <w:right w:type="dxa" w:w="120"/>
            </w:tcMar>
          </w:tcPr>
          <w:p>
            <w:r>
              <w:rPr>
                <w:sz w:val="19"/>
                <w:szCs w:val="19"/>
              </w:rPr>
              <w:t xml:space="preserve">Fabricated hardware integration; as-built parameter confirmation; steps-per-degree calibration; cross-coupling compensation; ±180° pan / ±90° tilt range verification</w:t>
            </w:r>
          </w:p>
        </w:tc>
        <w:tc>
          <w:tcPr>
            <w:tcW w:type="dxa" w:w="3200"/>
            <w:tcMar>
              <w:top w:type="dxa" w:w="90"/>
              <w:left w:type="dxa" w:w="120"/>
              <w:bottom w:type="dxa" w:w="90"/>
              <w:right w:type="dxa" w:w="120"/>
            </w:tcMar>
          </w:tcPr>
          <w:p>
            <w:r>
              <w:rPr>
                <w:sz w:val="19"/>
                <w:szCs w:val="19"/>
              </w:rPr>
              <w:t xml:space="preserve">Complete — calibrated pulse constants (10,000/rev pan, 1,000/rev tilt) in production config</w:t>
            </w:r>
          </w:p>
        </w:tc>
      </w:tr>
      <w:tr>
        <w:tc>
          <w:tcPr>
            <w:tcW w:type="dxa" w:w="1600"/>
            <w:shd w:fill="F5F7FA" w:val="clear"/>
            <w:tcMar>
              <w:top w:type="dxa" w:w="90"/>
              <w:left w:type="dxa" w:w="120"/>
              <w:bottom w:type="dxa" w:w="90"/>
              <w:right w:type="dxa" w:w="120"/>
            </w:tcMar>
          </w:tcPr>
          <w:p>
            <w:r>
              <w:rPr>
                <w:sz w:val="19"/>
                <w:szCs w:val="19"/>
              </w:rPr>
              <w:t xml:space="preserve">Weeks 7–8</w:t>
            </w:r>
          </w:p>
        </w:tc>
        <w:tc>
          <w:tcPr>
            <w:tcW w:type="dxa" w:w="5200"/>
            <w:shd w:fill="F5F7FA" w:val="clear"/>
            <w:tcMar>
              <w:top w:type="dxa" w:w="90"/>
              <w:left w:type="dxa" w:w="120"/>
              <w:bottom w:type="dxa" w:w="90"/>
              <w:right w:type="dxa" w:w="120"/>
            </w:tcMar>
          </w:tcPr>
          <w:p>
            <w:r>
              <w:rPr>
                <w:sz w:val="19"/>
                <w:szCs w:val="19"/>
              </w:rPr>
              <w:t xml:space="preserve">creality_autostart.py integration into the GUI loop; background SafetyWatchdog; end-to-end trials on experimental barrels</w:t>
            </w:r>
          </w:p>
        </w:tc>
        <w:tc>
          <w:tcPr>
            <w:tcW w:type="dxa" w:w="3200"/>
            <w:shd w:fill="F5F7FA" w:val="clear"/>
            <w:tcMar>
              <w:top w:type="dxa" w:w="90"/>
              <w:left w:type="dxa" w:w="120"/>
              <w:bottom w:type="dxa" w:w="90"/>
              <w:right w:type="dxa" w:w="120"/>
            </w:tcMar>
          </w:tcPr>
          <w:p>
            <w:r>
              <w:rPr>
                <w:sz w:val="19"/>
                <w:szCs w:val="19"/>
              </w:rPr>
              <w:t xml:space="preserve">Software complete; end-to-end trials against physically ground-truthed barrels are the remaining item ahead of the Aug. 21 final-delivery milestone</w:t>
            </w:r>
          </w:p>
        </w:tc>
      </w:tr>
    </w:tbl>
    <w:p>
      <w:pPr>
        <w:spacing w:after="240"/>
      </w:pPr>
    </w:p>
    <w:p>
      <w:pPr>
        <w:spacing w:after="200" w:line="276"/>
        <w:jc w:val="both"/>
      </w:pPr>
      <w:r>
        <w:t xml:space="preserve">In short: the control software, safety systems, GUI, reconstruction pipeline, and evaluation framework described in Chapters 3–5 are implemented and individually verified. The remaining work between this report and the project's Aug. 21 milestone is empirical rather than architectural — running the physical ground-truth protocol against real barrels, populating the frozen validation manifest, and reporting the resulting accuracy figures — and does not require further software design work beyond what is already built.</w:t>
      </w:r>
    </w:p>
    <w:p>
      <w:pPr>
        <w:pStyle w:val="Heading2"/>
        <w:spacing w:after="160" w:before="360"/>
      </w:pPr>
      <w:r>
        <w:rPr>
          <w:b/>
          <w:bCs/>
          <w:color w:val="1A1A1A"/>
        </w:rPr>
        <w:t xml:space="preserve">6.2 Known Risks and Mitigations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2E4B6B" w:val="clear"/>
            <w:tcMar>
              <w:top w:type="dxa" w:w="100"/>
              <w:left w:type="dxa" w:w="120"/>
              <w:bottom w:type="dxa" w:w="100"/>
              <w:right w:type="dxa" w:w="120"/>
            </w:tcMar>
            <w:vAlign w:val="center"/>
          </w:tcPr>
          <w:p>
            <w:r>
              <w:rPr>
                <w:b/>
                <w:bCs/>
                <w:color w:val="FFFFFF"/>
                <w:sz w:val="19"/>
                <w:szCs w:val="19"/>
              </w:rPr>
              <w:t xml:space="preserve">Risk</w:t>
            </w:r>
          </w:p>
        </w:tc>
        <w:tc>
          <w:tcPr>
            <w:tcW w:type="dxa" w:w="5800"/>
            <w:shd w:fill="2E4B6B" w:val="clear"/>
            <w:tcMar>
              <w:top w:type="dxa" w:w="100"/>
              <w:left w:type="dxa" w:w="120"/>
              <w:bottom w:type="dxa" w:w="100"/>
              <w:right w:type="dxa" w:w="120"/>
            </w:tcMar>
            <w:vAlign w:val="center"/>
          </w:tcPr>
          <w:p>
            <w:r>
              <w:rPr>
                <w:b/>
                <w:bCs/>
                <w:color w:val="FFFFFF"/>
                <w:sz w:val="19"/>
                <w:szCs w:val="19"/>
              </w:rPr>
              <w:t xml:space="preserve">Mitigation in Place</w:t>
            </w:r>
          </w:p>
        </w:tc>
      </w:tr>
      <w:tr>
        <w:tc>
          <w:tcPr>
            <w:tcW w:type="dxa" w:w="4200"/>
            <w:tcMar>
              <w:top w:type="dxa" w:w="90"/>
              <w:left w:type="dxa" w:w="120"/>
              <w:bottom w:type="dxa" w:w="90"/>
              <w:right w:type="dxa" w:w="120"/>
            </w:tcMar>
          </w:tcPr>
          <w:p>
            <w:r>
              <w:rPr>
                <w:sz w:val="19"/>
                <w:szCs w:val="19"/>
              </w:rPr>
              <w:t xml:space="preserve">UI automation of a third-party app (Creality Scan) is inherently brittle to OS scaling, resolution, or vendor UI changes.</w:t>
            </w:r>
          </w:p>
        </w:tc>
        <w:tc>
          <w:tcPr>
            <w:tcW w:type="dxa" w:w="5800"/>
            <w:tcMar>
              <w:top w:type="dxa" w:w="90"/>
              <w:left w:type="dxa" w:w="120"/>
              <w:bottom w:type="dxa" w:w="90"/>
              <w:right w:type="dxa" w:w="120"/>
            </w:tcMar>
          </w:tcPr>
          <w:p>
            <w:r>
              <w:rPr>
                <w:sz w:val="19"/>
                <w:szCs w:val="19"/>
              </w:rPr>
              <w:t xml:space="preserve">Multi-resolution template folders with automatic detection; tunable match confidence; hotkey fallback; auto-captured debug screenshots on timeout for fast diagnosis.</w:t>
            </w:r>
          </w:p>
        </w:tc>
      </w:tr>
      <w:tr>
        <w:tc>
          <w:tcPr>
            <w:tcW w:type="dxa" w:w="4200"/>
            <w:shd w:fill="F5F7FA" w:val="clear"/>
            <w:tcMar>
              <w:top w:type="dxa" w:w="90"/>
              <w:left w:type="dxa" w:w="120"/>
              <w:bottom w:type="dxa" w:w="90"/>
              <w:right w:type="dxa" w:w="120"/>
            </w:tcMar>
          </w:tcPr>
          <w:p>
            <w:r>
              <w:rPr>
                <w:sz w:val="19"/>
                <w:szCs w:val="19"/>
              </w:rPr>
              <w:t xml:space="preserve">Kinematic cross-coupling mis-calibration could let the tilt axis silently drift during a pan sweep.</w:t>
            </w:r>
          </w:p>
        </w:tc>
        <w:tc>
          <w:tcPr>
            <w:tcW w:type="dxa" w:w="5800"/>
            <w:shd w:fill="F5F7FA" w:val="clear"/>
            <w:tcMar>
              <w:top w:type="dxa" w:w="90"/>
              <w:left w:type="dxa" w:w="120"/>
              <w:bottom w:type="dxa" w:w="90"/>
              <w:right w:type="dxa" w:w="120"/>
            </w:tcMar>
          </w:tcPr>
          <w:p>
            <w:r>
              <w:rPr>
                <w:sz w:val="19"/>
                <w:szCs w:val="19"/>
              </w:rPr>
              <w:t xml:space="preserve">Closed-loop position-error watchdog independently detects and halts on any unexpected drift, regardless of whether the compensation constant is exactly correct.</w:t>
            </w:r>
          </w:p>
        </w:tc>
      </w:tr>
      <w:tr>
        <w:tc>
          <w:tcPr>
            <w:tcW w:type="dxa" w:w="4200"/>
            <w:tcMar>
              <w:top w:type="dxa" w:w="90"/>
              <w:left w:type="dxa" w:w="120"/>
              <w:bottom w:type="dxa" w:w="90"/>
              <w:right w:type="dxa" w:w="120"/>
            </w:tcMar>
          </w:tcPr>
          <w:p>
            <w:r>
              <w:rPr>
                <w:sz w:val="19"/>
                <w:szCs w:val="19"/>
              </w:rPr>
              <w:t xml:space="preserve">A learned cleanup model could look better in a spot check yet regress on some barrel geometries.</w:t>
            </w:r>
          </w:p>
        </w:tc>
        <w:tc>
          <w:tcPr>
            <w:tcW w:type="dxa" w:w="5800"/>
            <w:tcMar>
              <w:top w:type="dxa" w:w="90"/>
              <w:left w:type="dxa" w:w="120"/>
              <w:bottom w:type="dxa" w:w="90"/>
              <w:right w:type="dxa" w:w="120"/>
            </w:tcMar>
          </w:tcPr>
          <w:p>
            <w:r>
              <w:rPr>
                <w:sz w:val="19"/>
                <w:szCs w:val="19"/>
              </w:rPr>
              <w:t xml:space="preserve">Statistically-gated promotion rule (Section 4.4) plus automated CI regression check before any pipeline or model change merges.</w:t>
            </w:r>
          </w:p>
        </w:tc>
      </w:tr>
      <w:tr>
        <w:tc>
          <w:tcPr>
            <w:tcW w:type="dxa" w:w="4200"/>
            <w:shd w:fill="F5F7FA" w:val="clear"/>
            <w:tcMar>
              <w:top w:type="dxa" w:w="90"/>
              <w:left w:type="dxa" w:w="120"/>
              <w:bottom w:type="dxa" w:w="90"/>
              <w:right w:type="dxa" w:w="120"/>
            </w:tcMar>
          </w:tcPr>
          <w:p>
            <w:r>
              <w:rPr>
                <w:sz w:val="19"/>
                <w:szCs w:val="19"/>
              </w:rPr>
              <w:t xml:space="preserve">Validation manifest is not yet populated with real barrels, so no production accuracy figure exists yet.</w:t>
            </w:r>
          </w:p>
        </w:tc>
        <w:tc>
          <w:tcPr>
            <w:tcW w:type="dxa" w:w="5800"/>
            <w:shd w:fill="F5F7FA" w:val="clear"/>
            <w:tcMar>
              <w:top w:type="dxa" w:w="90"/>
              <w:left w:type="dxa" w:w="120"/>
              <w:bottom w:type="dxa" w:w="90"/>
              <w:right w:type="dxa" w:w="120"/>
            </w:tcMar>
          </w:tcPr>
          <w:p>
            <w:r>
              <w:rPr>
                <w:sz w:val="19"/>
                <w:szCs w:val="19"/>
              </w:rPr>
              <w:t xml:space="preserve">Framework is fully built and exercised on synthetic/sample data now, so populating real barrels is a data-collection task, not a software task, against the Aug. 21 milestone.</w:t>
            </w:r>
          </w:p>
        </w:tc>
      </w:tr>
      <w:tr>
        <w:tc>
          <w:tcPr>
            <w:tcW w:type="dxa" w:w="4200"/>
            <w:tcMar>
              <w:top w:type="dxa" w:w="90"/>
              <w:left w:type="dxa" w:w="120"/>
              <w:bottom w:type="dxa" w:w="90"/>
              <w:right w:type="dxa" w:w="120"/>
            </w:tcMar>
          </w:tcPr>
          <w:p>
            <w:r>
              <w:rPr>
                <w:sz w:val="19"/>
                <w:szCs w:val="19"/>
              </w:rPr>
              <w:t xml:space="preserve">Physical mechanism jam or bind inside a customer's barrel.</w:t>
            </w:r>
          </w:p>
        </w:tc>
        <w:tc>
          <w:tcPr>
            <w:tcW w:type="dxa" w:w="5800"/>
            <w:tcMar>
              <w:top w:type="dxa" w:w="90"/>
              <w:left w:type="dxa" w:w="120"/>
              <w:bottom w:type="dxa" w:w="90"/>
              <w:right w:type="dxa" w:w="120"/>
            </w:tcMar>
          </w:tcPr>
          <w:p>
            <w:r>
              <w:rPr>
                <w:sz w:val="19"/>
                <w:szCs w:val="19"/>
              </w:rPr>
              <w:t xml:space="preserve">Background SafetyWatchdog cuts torque on position-error alarm; explicit e-stop path reachable from the GUI, CLI Ctrl+C, and the watchdog itself; try/finally re-homing on every scan sequence.</w:t>
            </w:r>
          </w:p>
        </w:tc>
      </w:tr>
    </w:tbl>
    <w:p>
      <w:pPr>
        <w:spacing w:after="240"/>
      </w:pPr>
    </w:p>
    <w:p>
      <w:pPr>
        <w:pStyle w:val="Heading2"/>
        <w:spacing w:after="160" w:before="360"/>
      </w:pPr>
      <w:r>
        <w:rPr>
          <w:b/>
          <w:bCs/>
          <w:color w:val="1A1A1A"/>
        </w:rPr>
        <w:t xml:space="preserve">6.3 Path to Production: From Single-Barrel Scans to Cellar-Scale Auditing</w:t>
      </w:r>
    </w:p>
    <w:p>
      <w:pPr>
        <w:spacing w:after="200" w:line="276"/>
        <w:jc w:val="both"/>
      </w:pPr>
      <w:r>
        <w:t xml:space="preserve">The reconstruction pipeline already anticipates operating at a scale beyond one barrel at a time: `reconstruction/barrel_batch.py` processes a whole directory of previously-scanned meshes and produces combined summary CSVs — a wide per-barrel measurement table (volume, axial span, bilge radius, crozehead radius) and combined radial profile curves — with automatic unit detection so a cellar's existing STL archive can be re-analyzed without manual unit bookkeeping. This is the natural on-ramp from validating a single reconstruction to auditing an entire cooperage's inventory: once the frozen validation manifest (Section 5.2) establishes a defensible accuracy figure, the same batch tooling becomes the operational interface a winery or cooperage would actually use to track fleet-wide volume drift, flag barrels departing significantly from their nominal rating, and inform blending and inventory decisions across hundreds of barrels rather than one scan session at a time.</w:t>
      </w:r>
    </w:p>
    <w:p>
      <w:pPr>
        <w:pStyle w:val="Heading1"/>
        <w:pageBreakBefore/>
        <w:spacing w:after="240" w:before="480"/>
      </w:pPr>
      <w:r>
        <w:rPr>
          <w:b/>
          <w:bCs/>
          <w:color w:val="2E4B6B"/>
        </w:rPr>
        <w:t xml:space="preserve">Chapter 7 — Summary and Future Work</w:t>
      </w:r>
    </w:p>
    <w:p>
      <w:pPr>
        <w:pStyle w:val="Heading2"/>
        <w:spacing w:after="160" w:before="360"/>
      </w:pPr>
      <w:r>
        <w:rPr>
          <w:b/>
          <w:bCs/>
          <w:color w:val="1A1A1A"/>
        </w:rPr>
        <w:t xml:space="preserve">7.1 Summary</w:t>
      </w:r>
    </w:p>
    <w:p>
      <w:pPr>
        <w:spacing w:after="200" w:line="276"/>
        <w:jc w:val="both"/>
      </w:pPr>
      <w:r>
        <w:t xml:space="preserve">This project delivers a coaxial, dual-axis pass-through scanning turret and a unified Python software stack that together turn a raw structured-light scan of a barrel's interior into a watertight mesh and a defensible volume and surface-area measurement. The software spans four layers built to the same standard of traceability and safety: a Modbus motor-control layer with closed-loop feedback and kinematic cross-coupling compensation; a background safety watchdog and multi-path emergency stop; a state-machine operator GUI bridging to the scanner's own vendor application via robust, multi-resolution UI automation; and a geometric reconstruction pipeline with both a deterministic, auditable rule-based cleanup stage in production today and a machine-learned cleanup stage under active, quantitatively-governed development. Sitting underneath all of it is an evaluation methodology — a tiered physical ground-truth protocol, a frozen and held-out validation manifest, a multi-metric harness, and a statistical promotion gate — built to the discipline that any system reporting a number a business will act on deserves.</w:t>
      </w:r>
    </w:p>
    <w:p>
      <w:pPr>
        <w:spacing w:after="200" w:line="276"/>
        <w:jc w:val="both"/>
      </w:pPr>
      <w:r>
        <w:t xml:space="preserve">As of Aug. 19, 2026, every one of those components is implemented and independently verified; the item that distinguishes "system built" from "system validated in production" is populating the frozen manifest with real, physically ground-truthed barrels, which is squarely a data-collection task against the project's Aug. 21 final-delivery milestone rather than a remaining software design problem.</w:t>
      </w:r>
    </w:p>
    <w:p>
      <w:pPr>
        <w:pStyle w:val="Heading2"/>
        <w:spacing w:after="160" w:before="360"/>
      </w:pPr>
      <w:r>
        <w:rPr>
          <w:b/>
          <w:bCs/>
          <w:color w:val="1A1A1A"/>
        </w:rPr>
        <w:t xml:space="preserve">7.2 Future Work</w:t>
      </w:r>
    </w:p>
    <w:p>
      <w:pPr>
        <w:pStyle w:val="ListParagraph"/>
        <w:numPr>
          <w:ilvl w:val="0"/>
          <w:numId w:val="1"/>
        </w:numPr>
        <w:spacing w:after="100"/>
      </w:pPr>
      <w:r>
        <w:t xml:space="preserve">Populate the frozen validation manifest with a representative sample of real, physically ground-truthed barrels (Method A or B from Section 5.1) and run the promotion rule to reach a first accuracy figure and a rules-vs-learned promotion decision.</w:t>
      </w:r>
    </w:p>
    <w:p>
      <w:pPr>
        <w:pStyle w:val="ListParagraph"/>
        <w:numPr>
          <w:ilvl w:val="0"/>
          <w:numId w:val="1"/>
        </w:numPr>
        <w:spacing w:after="100"/>
      </w:pPr>
      <w:r>
        <w:t xml:space="preserve">Extend `barrel_batch.py`'s fleet-level summary tooling into a lightweight dashboard so a cooperage can track volume drift across its inventory over time rather than reviewing per-barrel CSVs manually.</w:t>
      </w:r>
    </w:p>
    <w:p>
      <w:pPr>
        <w:pStyle w:val="ListParagraph"/>
        <w:numPr>
          <w:ilvl w:val="0"/>
          <w:numId w:val="1"/>
        </w:numPr>
        <w:spacing w:after="100"/>
      </w:pPr>
      <w:r>
        <w:t xml:space="preserve">Investigate replacing the Creality Scan UI-automation bridge with a documented API or SDK integration, if and when the vendor offers one, to remove the one dependency in the stack that screen-scrapes a third-party interface.</w:t>
      </w:r>
    </w:p>
    <w:p>
      <w:pPr>
        <w:pStyle w:val="ListParagraph"/>
        <w:numPr>
          <w:ilvl w:val="0"/>
          <w:numId w:val="1"/>
        </w:numPr>
        <w:spacing w:after="100"/>
      </w:pPr>
      <w:r>
        <w:t xml:space="preserve">Extend the ground-truth protocol's noise-floor analysis (Section 5.1) into the promotion rule itself, so the accuracy bar a learned model must clear is explicitly anchored to the measurement noise floor rather than a fixed absolute threshold.</w:t>
      </w:r>
    </w:p>
    <w:p>
      <w:pPr>
        <w:pStyle w:val="ListParagraph"/>
        <w:numPr>
          <w:ilvl w:val="0"/>
          <w:numId w:val="1"/>
        </w:numPr>
        <w:spacing w:after="100"/>
      </w:pPr>
      <w:r>
        <w:t xml:space="preserve">Broaden unit-test coverage from the configuration subsystem (`scratch/test_config_manager.py`) to the motion-control and reconstruction layers, formalizing the manual bring-up and debug-screenshot workflow already in use into an automated regression suite.</w:t>
      </w:r>
    </w:p>
    <w:p>
      <w:pPr>
        <w:pStyle w:val="Heading1"/>
        <w:pageBreakBefore/>
        <w:spacing w:after="240" w:before="480"/>
      </w:pPr>
      <w:r>
        <w:rPr>
          <w:b/>
          <w:bCs/>
          <w:color w:val="2E4B6B"/>
        </w:rPr>
        <w:t xml:space="preserve">Appendix A — Codebase Structure Reference</w:t>
      </w:r>
    </w:p>
    <w:p>
      <w:pPr>
        <w:spacing w:after="200" w:line="276"/>
        <w:jc w:val="both"/>
      </w:pPr>
      <w:r>
        <w:t xml:space="preserve">For reference, the repository's top-level module layout as of this report: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2E4B6B" w:val="clear"/>
            <w:tcMar>
              <w:top w:type="dxa" w:w="100"/>
              <w:left w:type="dxa" w:w="120"/>
              <w:bottom w:type="dxa" w:w="100"/>
              <w:right w:type="dxa" w:w="120"/>
            </w:tcMar>
            <w:vAlign w:val="center"/>
          </w:tcPr>
          <w:p>
            <w:r>
              <w:rPr>
                <w:b/>
                <w:bCs/>
                <w:color w:val="FFFFFF"/>
                <w:sz w:val="19"/>
                <w:szCs w:val="19"/>
              </w:rPr>
              <w:t xml:space="preserve">Path</w:t>
            </w:r>
          </w:p>
        </w:tc>
        <w:tc>
          <w:tcPr>
            <w:tcW w:type="dxa" w:w="7400"/>
            <w:shd w:fill="2E4B6B" w:val="clear"/>
            <w:tcMar>
              <w:top w:type="dxa" w:w="100"/>
              <w:left w:type="dxa" w:w="120"/>
              <w:bottom w:type="dxa" w:w="100"/>
              <w:right w:type="dxa" w:w="120"/>
            </w:tcMar>
            <w:vAlign w:val="center"/>
          </w:tcPr>
          <w:p>
            <w:r>
              <w:rPr>
                <w:b/>
                <w:bCs/>
                <w:color w:val="FFFFFF"/>
                <w:sz w:val="19"/>
                <w:szCs w:val="19"/>
              </w:rPr>
              <w:t xml:space="preserve">Purpose</w:t>
            </w:r>
          </w:p>
        </w:tc>
      </w:tr>
      <w:tr>
        <w:tc>
          <w:tcPr>
            <w:tcW w:type="dxa" w:w="2600"/>
            <w:tcMar>
              <w:top w:type="dxa" w:w="90"/>
              <w:left w:type="dxa" w:w="120"/>
              <w:bottom w:type="dxa" w:w="90"/>
              <w:right w:type="dxa" w:w="120"/>
            </w:tcMar>
          </w:tcPr>
          <w:p>
            <w:r>
              <w:rPr>
                <w:sz w:val="19"/>
                <w:szCs w:val="19"/>
              </w:rPr>
              <w:t xml:space="preserve">hardware/</w:t>
            </w:r>
          </w:p>
        </w:tc>
        <w:tc>
          <w:tcPr>
            <w:tcW w:type="dxa" w:w="7400"/>
            <w:tcMar>
              <w:top w:type="dxa" w:w="90"/>
              <w:left w:type="dxa" w:w="120"/>
              <w:bottom w:type="dxa" w:w="90"/>
              <w:right w:type="dxa" w:w="120"/>
            </w:tcMar>
          </w:tcPr>
          <w:p>
            <w:r>
              <w:rPr>
                <w:sz w:val="19"/>
                <w:szCs w:val="19"/>
              </w:rPr>
              <w:t xml:space="preserve">Motor bring-up scripts, Creality UI-automation bridge, precision/raster scan routine, Waveshare PWM lighting &amp; relay demos.</w:t>
            </w:r>
          </w:p>
        </w:tc>
      </w:tr>
      <w:tr>
        <w:tc>
          <w:tcPr>
            <w:tcW w:type="dxa" w:w="2600"/>
            <w:shd w:fill="F5F7FA" w:val="clear"/>
            <w:tcMar>
              <w:top w:type="dxa" w:w="90"/>
              <w:left w:type="dxa" w:w="120"/>
              <w:bottom w:type="dxa" w:w="90"/>
              <w:right w:type="dxa" w:w="120"/>
            </w:tcMar>
          </w:tcPr>
          <w:p>
            <w:r>
              <w:rPr>
                <w:sz w:val="19"/>
                <w:szCs w:val="19"/>
              </w:rPr>
              <w:t xml:space="preserve">reconstruction/</w:t>
            </w:r>
          </w:p>
        </w:tc>
        <w:tc>
          <w:tcPr>
            <w:tcW w:type="dxa" w:w="7400"/>
            <w:shd w:fill="F5F7FA" w:val="clear"/>
            <w:tcMar>
              <w:top w:type="dxa" w:w="90"/>
              <w:left w:type="dxa" w:w="120"/>
              <w:bottom w:type="dxa" w:w="90"/>
              <w:right w:type="dxa" w:w="120"/>
            </w:tcMar>
          </w:tcPr>
          <w:p>
            <w:r>
              <w:rPr>
                <w:sz w:val="19"/>
                <w:szCs w:val="19"/>
              </w:rPr>
              <w:t xml:space="preserve">Core 3D reconstruction pipeline, batch STL analysis, synthetic data generator, learned-model training/eval scripts, accuracy validation harness.</w:t>
            </w:r>
          </w:p>
        </w:tc>
      </w:tr>
      <w:tr>
        <w:tc>
          <w:tcPr>
            <w:tcW w:type="dxa" w:w="2600"/>
            <w:tcMar>
              <w:top w:type="dxa" w:w="90"/>
              <w:left w:type="dxa" w:w="120"/>
              <w:bottom w:type="dxa" w:w="90"/>
              <w:right w:type="dxa" w:w="120"/>
            </w:tcMar>
          </w:tcPr>
          <w:p>
            <w:r>
              <w:rPr>
                <w:sz w:val="19"/>
                <w:szCs w:val="19"/>
              </w:rPr>
              <w:t xml:space="preserve">notebooks/</w:t>
            </w:r>
          </w:p>
        </w:tc>
        <w:tc>
          <w:tcPr>
            <w:tcW w:type="dxa" w:w="7400"/>
            <w:tcMar>
              <w:top w:type="dxa" w:w="90"/>
              <w:left w:type="dxa" w:w="120"/>
              <w:bottom w:type="dxa" w:w="90"/>
              <w:right w:type="dxa" w:w="120"/>
            </w:tcMar>
          </w:tcPr>
          <w:p>
            <w:r>
              <w:rPr>
                <w:sz w:val="19"/>
                <w:szCs w:val="19"/>
              </w:rPr>
              <w:t xml:space="preserve">Interactive ML workflows: synthetic data generation, GridUNet training, PointNet training, side-by-side model evaluation.</w:t>
            </w:r>
          </w:p>
        </w:tc>
      </w:tr>
      <w:tr>
        <w:tc>
          <w:tcPr>
            <w:tcW w:type="dxa" w:w="2600"/>
            <w:shd w:fill="F5F7FA" w:val="clear"/>
            <w:tcMar>
              <w:top w:type="dxa" w:w="90"/>
              <w:left w:type="dxa" w:w="120"/>
              <w:bottom w:type="dxa" w:w="90"/>
              <w:right w:type="dxa" w:w="120"/>
            </w:tcMar>
          </w:tcPr>
          <w:p>
            <w:r>
              <w:rPr>
                <w:sz w:val="19"/>
                <w:szCs w:val="19"/>
              </w:rPr>
              <w:t xml:space="preserve">models/</w:t>
            </w:r>
          </w:p>
        </w:tc>
        <w:tc>
          <w:tcPr>
            <w:tcW w:type="dxa" w:w="7400"/>
            <w:shd w:fill="F5F7FA" w:val="clear"/>
            <w:tcMar>
              <w:top w:type="dxa" w:w="90"/>
              <w:left w:type="dxa" w:w="120"/>
              <w:bottom w:type="dxa" w:w="90"/>
              <w:right w:type="dxa" w:w="120"/>
            </w:tcMar>
          </w:tcPr>
          <w:p>
            <w:r>
              <w:rPr>
                <w:sz w:val="19"/>
                <w:szCs w:val="19"/>
              </w:rPr>
              <w:t xml:space="preserve">Versioned PyTorch checkpoints (grid_denoiser_best.pt, point_classifier_best.pt).</w:t>
            </w:r>
          </w:p>
        </w:tc>
      </w:tr>
      <w:tr>
        <w:tc>
          <w:tcPr>
            <w:tcW w:type="dxa" w:w="2600"/>
            <w:tcMar>
              <w:top w:type="dxa" w:w="90"/>
              <w:left w:type="dxa" w:w="120"/>
              <w:bottom w:type="dxa" w:w="90"/>
              <w:right w:type="dxa" w:w="120"/>
            </w:tcMar>
          </w:tcPr>
          <w:p>
            <w:r>
              <w:rPr>
                <w:sz w:val="19"/>
                <w:szCs w:val="19"/>
              </w:rPr>
              <w:t xml:space="preserve">docs/</w:t>
            </w:r>
          </w:p>
        </w:tc>
        <w:tc>
          <w:tcPr>
            <w:tcW w:type="dxa" w:w="7400"/>
            <w:tcMar>
              <w:top w:type="dxa" w:w="90"/>
              <w:left w:type="dxa" w:w="120"/>
              <w:bottom w:type="dxa" w:w="90"/>
              <w:right w:type="dxa" w:w="120"/>
            </w:tcMar>
          </w:tcPr>
          <w:p>
            <w:r>
              <w:rPr>
                <w:sz w:val="19"/>
                <w:szCs w:val="19"/>
              </w:rPr>
              <w:t xml:space="preserve">Ground-truth protocol, learned-cleanup phased plan, pipeline guide, model promotion rule.</w:t>
            </w:r>
          </w:p>
        </w:tc>
      </w:tr>
      <w:tr>
        <w:tc>
          <w:tcPr>
            <w:tcW w:type="dxa" w:w="2600"/>
            <w:shd w:fill="F5F7FA" w:val="clear"/>
            <w:tcMar>
              <w:top w:type="dxa" w:w="90"/>
              <w:left w:type="dxa" w:w="120"/>
              <w:bottom w:type="dxa" w:w="90"/>
              <w:right w:type="dxa" w:w="120"/>
            </w:tcMar>
          </w:tcPr>
          <w:p>
            <w:r>
              <w:rPr>
                <w:sz w:val="19"/>
                <w:szCs w:val="19"/>
              </w:rPr>
              <w:t xml:space="preserve">data/validation_set/</w:t>
            </w:r>
          </w:p>
        </w:tc>
        <w:tc>
          <w:tcPr>
            <w:tcW w:type="dxa" w:w="7400"/>
            <w:shd w:fill="F5F7FA" w:val="clear"/>
            <w:tcMar>
              <w:top w:type="dxa" w:w="90"/>
              <w:left w:type="dxa" w:w="120"/>
              <w:bottom w:type="dxa" w:w="90"/>
              <w:right w:type="dxa" w:w="120"/>
            </w:tcMar>
          </w:tcPr>
          <w:p>
            <w:r>
              <w:rPr>
                <w:sz w:val="19"/>
                <w:szCs w:val="19"/>
              </w:rPr>
              <w:t xml:space="preserve">Frozen validation manifest, raw .obscan scans, generated evaluation outputs.</w:t>
            </w:r>
          </w:p>
        </w:tc>
      </w:tr>
      <w:tr>
        <w:tc>
          <w:tcPr>
            <w:tcW w:type="dxa" w:w="2600"/>
            <w:tcMar>
              <w:top w:type="dxa" w:w="90"/>
              <w:left w:type="dxa" w:w="120"/>
              <w:bottom w:type="dxa" w:w="90"/>
              <w:right w:type="dxa" w:w="120"/>
            </w:tcMar>
          </w:tcPr>
          <w:p>
            <w:r>
              <w:rPr>
                <w:sz w:val="19"/>
                <w:szCs w:val="19"/>
              </w:rPr>
              <w:t xml:space="preserve">templates/</w:t>
            </w:r>
          </w:p>
        </w:tc>
        <w:tc>
          <w:tcPr>
            <w:tcW w:type="dxa" w:w="7400"/>
            <w:tcMar>
              <w:top w:type="dxa" w:w="90"/>
              <w:left w:type="dxa" w:w="120"/>
              <w:bottom w:type="dxa" w:w="90"/>
              <w:right w:type="dxa" w:w="120"/>
            </w:tcMar>
          </w:tcPr>
          <w:p>
            <w:r>
              <w:rPr>
                <w:sz w:val="19"/>
                <w:szCs w:val="19"/>
              </w:rPr>
              <w:t xml:space="preserve">Cropped UI template images used by the Creality automation bridge for multi-resolution button/text matching.</w:t>
            </w:r>
          </w:p>
        </w:tc>
      </w:tr>
      <w:tr>
        <w:tc>
          <w:tcPr>
            <w:tcW w:type="dxa" w:w="2600"/>
            <w:shd w:fill="F5F7FA" w:val="clear"/>
            <w:tcMar>
              <w:top w:type="dxa" w:w="90"/>
              <w:left w:type="dxa" w:w="120"/>
              <w:bottom w:type="dxa" w:w="90"/>
              <w:right w:type="dxa" w:w="120"/>
            </w:tcMar>
          </w:tcPr>
          <w:p>
            <w:r>
              <w:rPr>
                <w:sz w:val="19"/>
                <w:szCs w:val="19"/>
              </w:rPr>
              <w:t xml:space="preserve">app_gui.py</w:t>
            </w:r>
          </w:p>
        </w:tc>
        <w:tc>
          <w:tcPr>
            <w:tcW w:type="dxa" w:w="7400"/>
            <w:shd w:fill="F5F7FA" w:val="clear"/>
            <w:tcMar>
              <w:top w:type="dxa" w:w="90"/>
              <w:left w:type="dxa" w:w="120"/>
              <w:bottom w:type="dxa" w:w="90"/>
              <w:right w:type="dxa" w:w="120"/>
            </w:tcMar>
          </w:tcPr>
          <w:p>
            <w:r>
              <w:rPr>
                <w:sz w:val="19"/>
                <w:szCs w:val="19"/>
              </w:rPr>
              <w:t xml:space="preserve">CustomTkinter operator dashboard: state machine, safety controls, technician settings frame.</w:t>
            </w:r>
          </w:p>
        </w:tc>
      </w:tr>
      <w:tr>
        <w:tc>
          <w:tcPr>
            <w:tcW w:type="dxa" w:w="2600"/>
            <w:tcMar>
              <w:top w:type="dxa" w:w="90"/>
              <w:left w:type="dxa" w:w="120"/>
              <w:bottom w:type="dxa" w:w="90"/>
              <w:right w:type="dxa" w:w="120"/>
            </w:tcMar>
          </w:tcPr>
          <w:p>
            <w:r>
              <w:rPr>
                <w:sz w:val="19"/>
                <w:szCs w:val="19"/>
              </w:rPr>
              <w:t xml:space="preserve">scan_sequence.py / ess17_control.py</w:t>
            </w:r>
          </w:p>
        </w:tc>
        <w:tc>
          <w:tcPr>
            <w:tcW w:type="dxa" w:w="7400"/>
            <w:tcMar>
              <w:top w:type="dxa" w:w="90"/>
              <w:left w:type="dxa" w:w="120"/>
              <w:bottom w:type="dxa" w:w="90"/>
              <w:right w:type="dxa" w:w="120"/>
            </w:tcMar>
          </w:tcPr>
          <w:p>
            <w:r>
              <w:rPr>
                <w:sz w:val="19"/>
                <w:szCs w:val="19"/>
              </w:rPr>
              <w:t xml:space="preserve">Dual-axis Modbus motor controller classes and the production tilt-and-rotate scan routine.</w:t>
            </w:r>
          </w:p>
        </w:tc>
      </w:tr>
      <w:tr>
        <w:tc>
          <w:tcPr>
            <w:tcW w:type="dxa" w:w="2600"/>
            <w:shd w:fill="F5F7FA" w:val="clear"/>
            <w:tcMar>
              <w:top w:type="dxa" w:w="90"/>
              <w:left w:type="dxa" w:w="120"/>
              <w:bottom w:type="dxa" w:w="90"/>
              <w:right w:type="dxa" w:w="120"/>
            </w:tcMar>
          </w:tcPr>
          <w:p>
            <w:r>
              <w:rPr>
                <w:sz w:val="19"/>
                <w:szCs w:val="19"/>
              </w:rPr>
              <w:t xml:space="preserve">config_manager.py / scan_config.json</w:t>
            </w:r>
          </w:p>
        </w:tc>
        <w:tc>
          <w:tcPr>
            <w:tcW w:type="dxa" w:w="7400"/>
            <w:shd w:fill="F5F7FA" w:val="clear"/>
            <w:tcMar>
              <w:top w:type="dxa" w:w="90"/>
              <w:left w:type="dxa" w:w="120"/>
              <w:bottom w:type="dxa" w:w="90"/>
              <w:right w:type="dxa" w:w="120"/>
            </w:tcMar>
          </w:tcPr>
          <w:p>
            <w:r>
              <w:rPr>
                <w:sz w:val="19"/>
                <w:szCs w:val="19"/>
              </w:rPr>
              <w:t xml:space="preserve">Load/save/validate motion and sweep configuration, with automatic degrees↔revolutions synchronization.</w:t>
            </w:r>
          </w:p>
        </w:tc>
      </w:tr>
    </w:tbl>
    <w:p>
      <w:pPr>
        <w:spacing w:after="240"/>
      </w:pPr>
    </w:p>
    <w:p>
      <w:pPr>
        <w:pStyle w:val="Heading1"/>
        <w:pageBreakBefore/>
        <w:spacing w:after="240" w:before="480"/>
      </w:pPr>
      <w:r>
        <w:rPr>
          <w:b/>
          <w:bCs/>
          <w:color w:val="2E4B6B"/>
        </w:rPr>
        <w:t xml:space="preserve">Appendix B — Calibration and Configuration Parameters</w:t>
      </w:r>
    </w:p>
    <w:p>
      <w:pPr>
        <w:pStyle w:val="Heading2"/>
        <w:spacing w:after="160" w:before="360"/>
      </w:pPr>
      <w:r>
        <w:rPr>
          <w:b/>
          <w:bCs/>
          <w:color w:val="1A1A1A"/>
        </w:rPr>
        <w:t xml:space="preserve">B.1 Motor Settings (scan_config.json, production values)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6200"/>
      </w:tblGrid>
      <w:tr>
        <w:trPr>
          <w:tblHeader/>
        </w:trPr>
        <w:tc>
          <w:tcPr>
            <w:tcW w:type="dxa" w:w="3800"/>
            <w:shd w:fill="2E4B6B" w:val="clear"/>
            <w:tcMar>
              <w:top w:type="dxa" w:w="100"/>
              <w:left w:type="dxa" w:w="120"/>
              <w:bottom w:type="dxa" w:w="100"/>
              <w:right w:type="dxa" w:w="120"/>
            </w:tcMar>
            <w:vAlign w:val="center"/>
          </w:tcPr>
          <w:p>
            <w:r>
              <w:rPr>
                <w:b/>
                <w:bCs/>
                <w:color w:val="FFFFFF"/>
                <w:sz w:val="19"/>
                <w:szCs w:val="19"/>
              </w:rPr>
              <w:t xml:space="preserve">Parameter</w:t>
            </w:r>
          </w:p>
        </w:tc>
        <w:tc>
          <w:tcPr>
            <w:tcW w:type="dxa" w:w="6200"/>
            <w:shd w:fill="2E4B6B" w:val="clear"/>
            <w:tcMar>
              <w:top w:type="dxa" w:w="100"/>
              <w:left w:type="dxa" w:w="120"/>
              <w:bottom w:type="dxa" w:w="100"/>
              <w:right w:type="dxa" w:w="120"/>
            </w:tcMar>
            <w:vAlign w:val="center"/>
          </w:tcPr>
          <w:p>
            <w:r>
              <w:rPr>
                <w:b/>
                <w:bCs/>
                <w:color w:val="FFFFFF"/>
                <w:sz w:val="19"/>
                <w:szCs w:val="19"/>
              </w:rPr>
              <w:t xml:space="preserve">Value</w:t>
            </w:r>
          </w:p>
        </w:tc>
      </w:tr>
      <w:tr>
        <w:tc>
          <w:tcPr>
            <w:tcW w:type="dxa" w:w="3800"/>
            <w:tcMar>
              <w:top w:type="dxa" w:w="90"/>
              <w:left w:type="dxa" w:w="120"/>
              <w:bottom w:type="dxa" w:w="90"/>
              <w:right w:type="dxa" w:w="120"/>
            </w:tcMar>
          </w:tcPr>
          <w:p>
            <w:r>
              <w:rPr>
                <w:sz w:val="19"/>
                <w:szCs w:val="19"/>
              </w:rPr>
              <w:t xml:space="preserve">Serial port / baud rate</w:t>
            </w:r>
          </w:p>
        </w:tc>
        <w:tc>
          <w:tcPr>
            <w:tcW w:type="dxa" w:w="6200"/>
            <w:tcMar>
              <w:top w:type="dxa" w:w="90"/>
              <w:left w:type="dxa" w:w="120"/>
              <w:bottom w:type="dxa" w:w="90"/>
              <w:right w:type="dxa" w:w="120"/>
            </w:tcMar>
          </w:tcPr>
          <w:p>
            <w:r>
              <w:rPr>
                <w:sz w:val="19"/>
                <w:szCs w:val="19"/>
              </w:rPr>
              <w:t xml:space="preserve">COM3 / 115,200</w:t>
            </w:r>
          </w:p>
        </w:tc>
      </w:tr>
      <w:tr>
        <w:tc>
          <w:tcPr>
            <w:tcW w:type="dxa" w:w="3800"/>
            <w:shd w:fill="F5F7FA" w:val="clear"/>
            <w:tcMar>
              <w:top w:type="dxa" w:w="90"/>
              <w:left w:type="dxa" w:w="120"/>
              <w:bottom w:type="dxa" w:w="90"/>
              <w:right w:type="dxa" w:w="120"/>
            </w:tcMar>
          </w:tcPr>
          <w:p>
            <w:r>
              <w:rPr>
                <w:sz w:val="19"/>
                <w:szCs w:val="19"/>
              </w:rPr>
              <w:t xml:space="preserve">Pan (rotation) axis — iDM57-RS23</w:t>
            </w:r>
          </w:p>
        </w:tc>
        <w:tc>
          <w:tcPr>
            <w:tcW w:type="dxa" w:w="6200"/>
            <w:shd w:fill="F5F7FA" w:val="clear"/>
            <w:tcMar>
              <w:top w:type="dxa" w:w="90"/>
              <w:left w:type="dxa" w:w="120"/>
              <w:bottom w:type="dxa" w:w="90"/>
              <w:right w:type="dxa" w:w="120"/>
            </w:tcMar>
          </w:tcPr>
          <w:p>
            <w:r>
              <w:rPr>
                <w:sz w:val="19"/>
                <w:szCs w:val="19"/>
              </w:rPr>
              <w:t xml:space="preserve">Modbus slave ID 1; 10,000 pulses/rev; accel/decel 300 ms; design range ±180°</w:t>
            </w:r>
          </w:p>
        </w:tc>
      </w:tr>
      <w:tr>
        <w:tc>
          <w:tcPr>
            <w:tcW w:type="dxa" w:w="3800"/>
            <w:tcMar>
              <w:top w:type="dxa" w:w="90"/>
              <w:left w:type="dxa" w:w="120"/>
              <w:bottom w:type="dxa" w:w="90"/>
              <w:right w:type="dxa" w:w="120"/>
            </w:tcMar>
          </w:tcPr>
          <w:p>
            <w:r>
              <w:rPr>
                <w:sz w:val="19"/>
                <w:szCs w:val="19"/>
              </w:rPr>
              <w:t xml:space="preserve">Tilt axis — ESS17-RS04 (closed-loop)</w:t>
            </w:r>
          </w:p>
        </w:tc>
        <w:tc>
          <w:tcPr>
            <w:tcW w:type="dxa" w:w="6200"/>
            <w:tcMar>
              <w:top w:type="dxa" w:w="90"/>
              <w:left w:type="dxa" w:w="120"/>
              <w:bottom w:type="dxa" w:w="90"/>
              <w:right w:type="dxa" w:w="120"/>
            </w:tcMar>
          </w:tcPr>
          <w:p>
            <w:r>
              <w:rPr>
                <w:sz w:val="19"/>
                <w:szCs w:val="19"/>
              </w:rPr>
              <w:t xml:space="preserve">Modbus slave ID 2; 1,000 pulses/rev; accel/decel 200 ms; design range ±90°</w:t>
            </w:r>
          </w:p>
        </w:tc>
      </w:tr>
      <w:tr>
        <w:tc>
          <w:tcPr>
            <w:tcW w:type="dxa" w:w="3800"/>
            <w:shd w:fill="F5F7FA" w:val="clear"/>
            <w:tcMar>
              <w:top w:type="dxa" w:w="90"/>
              <w:left w:type="dxa" w:w="120"/>
              <w:bottom w:type="dxa" w:w="90"/>
              <w:right w:type="dxa" w:w="120"/>
            </w:tcMar>
          </w:tcPr>
          <w:p>
            <w:r>
              <w:rPr>
                <w:sz w:val="19"/>
                <w:szCs w:val="19"/>
              </w:rPr>
              <w:t xml:space="preserve">Default sweep speeds</w:t>
            </w:r>
          </w:p>
        </w:tc>
        <w:tc>
          <w:tcPr>
            <w:tcW w:type="dxa" w:w="6200"/>
            <w:shd w:fill="F5F7FA" w:val="clear"/>
            <w:tcMar>
              <w:top w:type="dxa" w:w="90"/>
              <w:left w:type="dxa" w:w="120"/>
              <w:bottom w:type="dxa" w:w="90"/>
              <w:right w:type="dxa" w:w="120"/>
            </w:tcMar>
          </w:tcPr>
          <w:p>
            <w:r>
              <w:rPr>
                <w:sz w:val="19"/>
                <w:szCs w:val="19"/>
              </w:rPr>
              <w:t xml:space="preserve">Tilt 60 RPM, rotation 60 RPM</w:t>
            </w:r>
          </w:p>
        </w:tc>
      </w:tr>
      <w:tr>
        <w:tc>
          <w:tcPr>
            <w:tcW w:type="dxa" w:w="3800"/>
            <w:tcMar>
              <w:top w:type="dxa" w:w="90"/>
              <w:left w:type="dxa" w:w="120"/>
              <w:bottom w:type="dxa" w:w="90"/>
              <w:right w:type="dxa" w:w="120"/>
            </w:tcMar>
          </w:tcPr>
          <w:p>
            <w:r>
              <w:rPr>
                <w:sz w:val="19"/>
                <w:szCs w:val="19"/>
              </w:rPr>
              <w:t xml:space="preserve">Default tilt pass targets</w:t>
            </w:r>
          </w:p>
        </w:tc>
        <w:tc>
          <w:tcPr>
            <w:tcW w:type="dxa" w:w="6200"/>
            <w:tcMar>
              <w:top w:type="dxa" w:w="90"/>
              <w:left w:type="dxa" w:w="120"/>
              <w:bottom w:type="dxa" w:w="90"/>
              <w:right w:type="dxa" w:w="120"/>
            </w:tcMar>
          </w:tcPr>
          <w:p>
            <w:r>
              <w:rPr>
                <w:sz w:val="19"/>
                <w:szCs w:val="19"/>
              </w:rPr>
              <w:t xml:space="preserve">[-8000, -4000, 0, 2000, 5000] pulses (motor-shaft counts prior to worm-gear output reduction)</w:t>
            </w:r>
          </w:p>
        </w:tc>
      </w:tr>
      <w:tr>
        <w:tc>
          <w:tcPr>
            <w:tcW w:type="dxa" w:w="3800"/>
            <w:shd w:fill="F5F7FA" w:val="clear"/>
            <w:tcMar>
              <w:top w:type="dxa" w:w="90"/>
              <w:left w:type="dxa" w:w="120"/>
              <w:bottom w:type="dxa" w:w="90"/>
              <w:right w:type="dxa" w:w="120"/>
            </w:tcMar>
          </w:tcPr>
          <w:p>
            <w:r>
              <w:rPr>
                <w:sz w:val="19"/>
                <w:szCs w:val="19"/>
              </w:rPr>
              <w:t xml:space="preserve">Default rotation sweep</w:t>
            </w:r>
          </w:p>
        </w:tc>
        <w:tc>
          <w:tcPr>
            <w:tcW w:type="dxa" w:w="6200"/>
            <w:shd w:fill="F5F7FA" w:val="clear"/>
            <w:tcMar>
              <w:top w:type="dxa" w:w="90"/>
              <w:left w:type="dxa" w:w="120"/>
              <w:bottom w:type="dxa" w:w="90"/>
              <w:right w:type="dxa" w:w="120"/>
            </w:tcMar>
          </w:tcPr>
          <w:p>
            <w:r>
              <w:rPr>
                <w:sz w:val="19"/>
                <w:szCs w:val="19"/>
              </w:rPr>
              <w:t xml:space="preserve">4.0 revolutions (1,440°) per tilt step, forward then return</w:t>
            </w:r>
          </w:p>
        </w:tc>
      </w:tr>
      <w:tr>
        <w:tc>
          <w:tcPr>
            <w:tcW w:type="dxa" w:w="3800"/>
            <w:tcMar>
              <w:top w:type="dxa" w:w="90"/>
              <w:left w:type="dxa" w:w="120"/>
              <w:bottom w:type="dxa" w:w="90"/>
              <w:right w:type="dxa" w:w="120"/>
            </w:tcMar>
          </w:tcPr>
          <w:p>
            <w:r>
              <w:rPr>
                <w:sz w:val="19"/>
                <w:szCs w:val="19"/>
              </w:rPr>
              <w:t xml:space="preserve">Inter-step pause</w:t>
            </w:r>
          </w:p>
        </w:tc>
        <w:tc>
          <w:tcPr>
            <w:tcW w:type="dxa" w:w="6200"/>
            <w:tcMar>
              <w:top w:type="dxa" w:w="90"/>
              <w:left w:type="dxa" w:w="120"/>
              <w:bottom w:type="dxa" w:w="90"/>
              <w:right w:type="dxa" w:w="120"/>
            </w:tcMar>
          </w:tcPr>
          <w:p>
            <w:r>
              <w:rPr>
                <w:sz w:val="19"/>
                <w:szCs w:val="19"/>
              </w:rPr>
              <w:t xml:space="preserve">1.0 s</w:t>
            </w:r>
          </w:p>
        </w:tc>
      </w:tr>
    </w:tbl>
    <w:p>
      <w:pPr>
        <w:spacing w:after="240"/>
      </w:pPr>
    </w:p>
    <w:p>
      <w:pPr>
        <w:pStyle w:val="Heading2"/>
        <w:spacing w:after="160" w:before="360"/>
      </w:pPr>
      <w:r>
        <w:rPr>
          <w:b/>
          <w:bCs/>
          <w:color w:val="1A1A1A"/>
        </w:rPr>
        <w:t xml:space="preserve">B.2 Reconstruction Pipeline Constants (barrel_reconstruct.py)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6200"/>
      </w:tblGrid>
      <w:tr>
        <w:trPr>
          <w:tblHeader/>
        </w:trPr>
        <w:tc>
          <w:tcPr>
            <w:tcW w:type="dxa" w:w="3800"/>
            <w:shd w:fill="2E4B6B" w:val="clear"/>
            <w:tcMar>
              <w:top w:type="dxa" w:w="100"/>
              <w:left w:type="dxa" w:w="120"/>
              <w:bottom w:type="dxa" w:w="100"/>
              <w:right w:type="dxa" w:w="120"/>
            </w:tcMar>
            <w:vAlign w:val="center"/>
          </w:tcPr>
          <w:p>
            <w:r>
              <w:rPr>
                <w:b/>
                <w:bCs/>
                <w:color w:val="FFFFFF"/>
                <w:sz w:val="19"/>
                <w:szCs w:val="19"/>
              </w:rPr>
              <w:t xml:space="preserve">Parameter</w:t>
            </w:r>
          </w:p>
        </w:tc>
        <w:tc>
          <w:tcPr>
            <w:tcW w:type="dxa" w:w="6200"/>
            <w:shd w:fill="2E4B6B" w:val="clear"/>
            <w:tcMar>
              <w:top w:type="dxa" w:w="100"/>
              <w:left w:type="dxa" w:w="120"/>
              <w:bottom w:type="dxa" w:w="100"/>
              <w:right w:type="dxa" w:w="120"/>
            </w:tcMar>
            <w:vAlign w:val="center"/>
          </w:tcPr>
          <w:p>
            <w:r>
              <w:rPr>
                <w:b/>
                <w:bCs/>
                <w:color w:val="FFFFFF"/>
                <w:sz w:val="19"/>
                <w:szCs w:val="19"/>
              </w:rPr>
              <w:t xml:space="preserve">Value / Meaning</w:t>
            </w:r>
          </w:p>
        </w:tc>
      </w:tr>
      <w:tr>
        <w:tc>
          <w:tcPr>
            <w:tcW w:type="dxa" w:w="3800"/>
            <w:tcMar>
              <w:top w:type="dxa" w:w="90"/>
              <w:left w:type="dxa" w:w="120"/>
              <w:bottom w:type="dxa" w:w="90"/>
              <w:right w:type="dxa" w:w="120"/>
            </w:tcMar>
          </w:tcPr>
          <w:p>
            <w:r>
              <w:rPr>
                <w:sz w:val="19"/>
                <w:szCs w:val="19"/>
              </w:rPr>
              <w:t xml:space="preserve">Corner densification band</w:t>
            </w:r>
          </w:p>
        </w:tc>
        <w:tc>
          <w:tcPr>
            <w:tcW w:type="dxa" w:w="6200"/>
            <w:tcMar>
              <w:top w:type="dxa" w:w="90"/>
              <w:left w:type="dxa" w:w="120"/>
              <w:bottom w:type="dxa" w:w="90"/>
              <w:right w:type="dxa" w:w="120"/>
            </w:tcMar>
          </w:tcPr>
          <w:p>
            <w:r>
              <w:rPr>
                <w:sz w:val="19"/>
                <w:szCs w:val="19"/>
              </w:rPr>
              <w:t xml:space="preserve">±7.0° of elevation around each crozehead corner, 30 extra polar rows</w:t>
            </w:r>
          </w:p>
        </w:tc>
      </w:tr>
      <w:tr>
        <w:tc>
          <w:tcPr>
            <w:tcW w:type="dxa" w:w="3800"/>
            <w:shd w:fill="F5F7FA" w:val="clear"/>
            <w:tcMar>
              <w:top w:type="dxa" w:w="90"/>
              <w:left w:type="dxa" w:w="120"/>
              <w:bottom w:type="dxa" w:w="90"/>
              <w:right w:type="dxa" w:w="120"/>
            </w:tcMar>
          </w:tcPr>
          <w:p>
            <w:r>
              <w:rPr>
                <w:sz w:val="19"/>
                <w:szCs w:val="19"/>
              </w:rPr>
              <w:t xml:space="preserve">Minimum trusted cell</w:t>
            </w:r>
          </w:p>
        </w:tc>
        <w:tc>
          <w:tcPr>
            <w:tcW w:type="dxa" w:w="6200"/>
            <w:shd w:fill="F5F7FA" w:val="clear"/>
            <w:tcMar>
              <w:top w:type="dxa" w:w="90"/>
              <w:left w:type="dxa" w:w="120"/>
              <w:bottom w:type="dxa" w:w="90"/>
              <w:right w:type="dxa" w:w="120"/>
            </w:tcMar>
          </w:tcPr>
          <w:p>
            <w:r>
              <w:rPr>
                <w:sz w:val="19"/>
                <w:szCs w:val="19"/>
              </w:rPr>
              <w:t xml:space="preserve">≥ 4 raw points; below this a grid cell is treated as empty</w:t>
            </w:r>
          </w:p>
        </w:tc>
      </w:tr>
      <w:tr>
        <w:tc>
          <w:tcPr>
            <w:tcW w:type="dxa" w:w="3800"/>
            <w:tcMar>
              <w:top w:type="dxa" w:w="90"/>
              <w:left w:type="dxa" w:w="120"/>
              <w:bottom w:type="dxa" w:w="90"/>
              <w:right w:type="dxa" w:w="120"/>
            </w:tcMar>
          </w:tcPr>
          <w:p>
            <w:r>
              <w:rPr>
                <w:sz w:val="19"/>
                <w:szCs w:val="19"/>
              </w:rPr>
              <w:t xml:space="preserve">Gross outlier threshold</w:t>
            </w:r>
          </w:p>
        </w:tc>
        <w:tc>
          <w:tcPr>
            <w:tcW w:type="dxa" w:w="6200"/>
            <w:tcMar>
              <w:top w:type="dxa" w:w="90"/>
              <w:left w:type="dxa" w:w="120"/>
              <w:bottom w:type="dxa" w:w="90"/>
              <w:right w:type="dxa" w:w="120"/>
            </w:tcMar>
          </w:tcPr>
          <w:p>
            <w:r>
              <w:rPr>
                <w:sz w:val="19"/>
                <w:szCs w:val="19"/>
              </w:rPr>
              <w:t xml:space="preserve">12 mm departure from a cell's row-median radius</w:t>
            </w:r>
          </w:p>
        </w:tc>
      </w:tr>
      <w:tr>
        <w:tc>
          <w:tcPr>
            <w:tcW w:type="dxa" w:w="3800"/>
            <w:shd w:fill="F5F7FA" w:val="clear"/>
            <w:tcMar>
              <w:top w:type="dxa" w:w="90"/>
              <w:left w:type="dxa" w:w="120"/>
              <w:bottom w:type="dxa" w:w="90"/>
              <w:right w:type="dxa" w:w="120"/>
            </w:tcMar>
          </w:tcPr>
          <w:p>
            <w:r>
              <w:rPr>
                <w:sz w:val="19"/>
                <w:szCs w:val="19"/>
              </w:rPr>
              <w:t xml:space="preserve">Bung seed / shoulder threshold</w:t>
            </w:r>
          </w:p>
        </w:tc>
        <w:tc>
          <w:tcPr>
            <w:tcW w:type="dxa" w:w="6200"/>
            <w:shd w:fill="F5F7FA" w:val="clear"/>
            <w:tcMar>
              <w:top w:type="dxa" w:w="90"/>
              <w:left w:type="dxa" w:w="120"/>
              <w:bottom w:type="dxa" w:w="90"/>
              <w:right w:type="dxa" w:w="120"/>
            </w:tcMar>
          </w:tcPr>
          <w:p>
            <w:r>
              <w:rPr>
                <w:sz w:val="19"/>
                <w:szCs w:val="19"/>
              </w:rPr>
              <w:t xml:space="preserve">6 mm / 2 mm radius excess above row median</w:t>
            </w:r>
          </w:p>
        </w:tc>
      </w:tr>
      <w:tr>
        <w:tc>
          <w:tcPr>
            <w:tcW w:type="dxa" w:w="3800"/>
            <w:tcMar>
              <w:top w:type="dxa" w:w="90"/>
              <w:left w:type="dxa" w:w="120"/>
              <w:bottom w:type="dxa" w:w="90"/>
              <w:right w:type="dxa" w:w="120"/>
            </w:tcMar>
          </w:tcPr>
          <w:p>
            <w:r>
              <w:rPr>
                <w:sz w:val="19"/>
                <w:szCs w:val="19"/>
              </w:rPr>
              <w:t xml:space="preserve">Minimum bung region</w:t>
            </w:r>
          </w:p>
        </w:tc>
        <w:tc>
          <w:tcPr>
            <w:tcW w:type="dxa" w:w="6200"/>
            <w:tcMar>
              <w:top w:type="dxa" w:w="90"/>
              <w:left w:type="dxa" w:w="120"/>
              <w:bottom w:type="dxa" w:w="90"/>
              <w:right w:type="dxa" w:w="120"/>
            </w:tcMar>
          </w:tcPr>
          <w:p>
            <w:r>
              <w:rPr>
                <w:sz w:val="19"/>
                <w:szCs w:val="19"/>
              </w:rPr>
              <w:t xml:space="preserve">8 connected cells, ≤ 90° azimuthal width (rejects ring-shaped false positives)</w:t>
            </w:r>
          </w:p>
        </w:tc>
      </w:tr>
      <w:tr>
        <w:tc>
          <w:tcPr>
            <w:tcW w:type="dxa" w:w="3800"/>
            <w:shd w:fill="F5F7FA" w:val="clear"/>
            <w:tcMar>
              <w:top w:type="dxa" w:w="90"/>
              <w:left w:type="dxa" w:w="120"/>
              <w:bottom w:type="dxa" w:w="90"/>
              <w:right w:type="dxa" w:w="120"/>
            </w:tcMar>
          </w:tcPr>
          <w:p>
            <w:r>
              <w:rPr>
                <w:sz w:val="19"/>
                <w:szCs w:val="19"/>
              </w:rPr>
              <w:t xml:space="preserve">Wall vs. head split</w:t>
            </w:r>
          </w:p>
        </w:tc>
        <w:tc>
          <w:tcPr>
            <w:tcW w:type="dxa" w:w="6200"/>
            <w:shd w:fill="F5F7FA" w:val="clear"/>
            <w:tcMar>
              <w:top w:type="dxa" w:w="90"/>
              <w:left w:type="dxa" w:w="120"/>
              <w:bottom w:type="dxa" w:w="90"/>
              <w:right w:type="dxa" w:w="120"/>
            </w:tcMar>
          </w:tcPr>
          <w:p>
            <w:r>
              <w:rPr>
                <w:sz w:val="19"/>
                <w:szCs w:val="19"/>
              </w:rPr>
              <w:t xml:space="preserve">|normal · axis| &lt; 0.5 → wall point; ≥ 0.5 → head point</w:t>
            </w:r>
          </w:p>
        </w:tc>
      </w:tr>
      <w:tr>
        <w:tc>
          <w:tcPr>
            <w:tcW w:type="dxa" w:w="3800"/>
            <w:tcMar>
              <w:top w:type="dxa" w:w="90"/>
              <w:left w:type="dxa" w:w="120"/>
              <w:bottom w:type="dxa" w:w="90"/>
              <w:right w:type="dxa" w:w="120"/>
            </w:tcMar>
          </w:tcPr>
          <w:p>
            <w:r>
              <w:rPr>
                <w:sz w:val="19"/>
                <w:szCs w:val="19"/>
              </w:rPr>
              <w:t xml:space="preserve">Smoothing passes</w:t>
            </w:r>
          </w:p>
        </w:tc>
        <w:tc>
          <w:tcPr>
            <w:tcW w:type="dxa" w:w="6200"/>
            <w:tcMar>
              <w:top w:type="dxa" w:w="90"/>
              <w:left w:type="dxa" w:w="120"/>
              <w:bottom w:type="dxa" w:w="90"/>
              <w:right w:type="dxa" w:w="120"/>
            </w:tcMar>
          </w:tcPr>
          <w:p>
            <w:r>
              <w:rPr>
                <w:sz w:val="19"/>
                <w:szCs w:val="19"/>
              </w:rPr>
              <w:t xml:space="preserve">1 light, crease-preserving pass, segmented at both crozehead corners</w:t>
            </w:r>
          </w:p>
        </w:tc>
      </w:tr>
    </w:tbl>
    <w:p>
      <w:pPr>
        <w:spacing w:after="240"/>
      </w:pPr>
    </w:p>
    <w:p>
      <w:pPr>
        <w:pStyle w:val="Heading2"/>
        <w:spacing w:after="160" w:before="360"/>
      </w:pPr>
      <w:r>
        <w:rPr>
          <w:b/>
          <w:bCs/>
          <w:color w:val="1A1A1A"/>
        </w:rPr>
        <w:t xml:space="preserve">B.3 Dependencies</w:t>
      </w:r>
    </w:p>
    <w:p>
      <w:pPr>
        <w:pStyle w:val="ListParagraph"/>
        <w:numPr>
          <w:ilvl w:val="0"/>
          <w:numId w:val="1"/>
        </w:numPr>
        <w:spacing w:after="100"/>
      </w:pPr>
      <w:r>
        <w:t xml:space="preserve">Motion &amp; GUI: pymodbus, pyautogui, opencv-python, pygetwindow, pillow, customtkinter</w:t>
      </w:r>
    </w:p>
    <w:p>
      <w:pPr>
        <w:pStyle w:val="ListParagraph"/>
        <w:numPr>
          <w:ilvl w:val="0"/>
          <w:numId w:val="1"/>
        </w:numPr>
        <w:spacing w:after="100"/>
      </w:pPr>
      <w:r>
        <w:t xml:space="preserve">Reconstruction: numpy, scipy, trimesh</w:t>
      </w:r>
    </w:p>
    <w:p>
      <w:pPr>
        <w:pStyle w:val="ListParagraph"/>
        <w:numPr>
          <w:ilvl w:val="0"/>
          <w:numId w:val="1"/>
        </w:numPr>
        <w:spacing w:after="100"/>
      </w:pPr>
      <w:r>
        <w:t xml:space="preserve">Learned cleanup (optional): torch, scikit-learn</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Dual-Axis Pass-Through Barrel Scanner — Final Engineering &amp; Research Report</w:t>
    </w:r>
    <w:r>
      <w:rPr>
        <w:color w:val="595959"/>
        <w:sz w:val="16"/>
        <w:szCs w:val="16"/>
      </w:rPr>
      <w:t xml:space="preserve">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Abhinab Chatterjee — Software Lead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30"/>
      <w:szCs w:val="30"/>
    </w:rPr>
  </w:style>
  <w:style w:type="paragraph" w:styleId="Heading2">
    <w:name w:val="Heading 2"/>
    <w:basedOn w:val="Normal"/>
    <w:next w:val="Normal"/>
    <w:qFormat/>
    <w:rPr>
      <w:rFonts w:ascii="Calibri" w:cs="Calibri" w:eastAsia="Calibri" w:hAnsi="Calibri"/>
      <w:b/>
      <w:bCs/>
      <w:sz w:val="25"/>
      <w:szCs w:val="25"/>
    </w:rPr>
  </w:style>
  <w:style w:type="paragraph" w:styleId="Heading3">
    <w:name w:val="Heading 3"/>
    <w:basedOn w:val="Normal"/>
    <w:next w:val="Normal"/>
    <w:qFormat/>
    <w:rPr>
      <w:rFonts w:ascii="Calibri" w:cs="Calibri" w:eastAsia="Calibri" w:hAnsi="Calibri"/>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2026-08-19T19:23:37.059Z</dcterms:created>
  <dcterms:modified xsi:type="dcterms:W3CDTF">2026-08-19T19:23:37.060Z</dcterms:modified>
</cp:coreProperties>
</file>

<file path=docProps/custom.xml><?xml version="1.0" encoding="utf-8"?>
<Properties xmlns="http://schemas.openxmlformats.org/officeDocument/2006/custom-properties" xmlns:vt="http://schemas.openxmlformats.org/officeDocument/2006/docPropsVTypes"/>
</file>