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7365D"/>
          <w:sz w:val="44"/>
          <w:szCs w:val="44"/>
        </w:rPr>
        <w:t xml:space="preserve">Assignment Case Study – Complete Session Work Pack</w:t>
      </w:r>
    </w:p>
    <w:p>
      <w:pPr>
        <w:spacing w:after="120"/>
        <w:jc w:val="center"/>
      </w:pPr>
      <w:r>
        <w:rPr>
          <w:rFonts w:ascii="Arial" w:cs="Arial" w:eastAsia="Arial" w:hAnsi="Arial"/>
          <w:i/>
          <w:iCs/>
          <w:color w:val="2F75B5"/>
          <w:sz w:val="22"/>
          <w:szCs w:val="22"/>
        </w:rPr>
        <w:t xml:space="preserve">ReconAI | 18 Days × 4 Hours (72 h) | Every Session Includes Hourly Break-up + Workflow + Steps + Why</w:t>
      </w:r>
    </w:p>
    <w:p>
      <w:pPr>
        <w:spacing w:after="300"/>
        <w:jc w:val="center"/>
      </w:pPr>
      <w:r>
        <w:rPr>
          <w:rFonts w:ascii="Arial" w:cs="Arial" w:eastAsia="Arial" w:hAnsi="Arial"/>
          <w:color w:val="595959"/>
          <w:sz w:val="18"/>
          <w:szCs w:val="18"/>
        </w:rPr>
        <w:t xml:space="preserve">Source-locked to: AI_Banking_SourceLocked_18_Day_72_Hour_TOC_and_Project_Mapping.xlsx</w:t>
      </w:r>
    </w:p>
    <w:p>
      <w:pPr>
        <w:pStyle w:val="Heading1"/>
      </w:pPr>
      <w:r>
        <w:rPr>
          <w:rFonts w:ascii="Arial" w:cs="Arial" w:eastAsia="Arial" w:hAnsi="Arial"/>
        </w:rPr>
        <w:t xml:space="preserve">1. How This Pack Maps to the Source-Locked TOC</w:t>
      </w:r>
    </w:p>
    <w:p>
      <w:pPr>
        <w:spacing w:after="100"/>
        <w:rPr>
          <w:sz w:val="20"/>
          <w:szCs w:val="20"/>
        </w:rPr>
      </w:pPr>
      <w:r>
        <w:rPr>
          <w:rFonts w:ascii="Arial" w:cs="Arial" w:eastAsia="Arial" w:hAnsi="Arial"/>
          <w:sz w:val="20"/>
          <w:szCs w:val="20"/>
        </w:rPr>
        <w:t xml:space="preserve">This work pack follows the Session Work Pack pattern (workflow diagram, steps with reasons, detailed execution, input → work → output, exit criteria and carry-forward for every session) and applies it to the 18-day banking curriculum. The TOC, day structure, hourly blocks, source IDs and topic wording are taken unchanged from the mapping workbook; nothing in the curriculum has been re-sequenced or re-worded.</w:t>
      </w:r>
    </w:p>
    <w:p>
      <w:pPr>
        <w:spacing w:after="100"/>
        <w:rPr>
          <w:sz w:val="20"/>
          <w:szCs w:val="20"/>
        </w:rPr>
      </w:pPr>
      <w:r>
        <w:rPr>
          <w:rFonts w:ascii="Arial" w:cs="Arial" w:eastAsia="Arial" w:hAnsi="Arial"/>
          <w:sz w:val="20"/>
          <w:szCs w:val="20"/>
        </w:rPr>
        <w:t xml:space="preserve">Each day is one session of 4 hours. Inside each session, every step is pinned to the hourly block (and therefore the exact source IDs) in which it is taught, so the workflow diagram, the hourly break-up and the step table all line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Case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ReconAI</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Use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Assignment Case Study – Guided Implementation</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Workbook mapping IDs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SOL-R01 … SOL-R18</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Delivery mode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Learner-led assignment. Launched in Hour 4 of each day ("ReconAI assignment launch and evidence") after the BankAssist demonstration; learners apply the same topics independently. This pack is the guided implementation / solution reference.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Programme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18 days × 4 hours = 72 hours; 114 source lines (S002 absent in the supplied workbook)</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Companion cases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BankAssist 360 (guided) | ReconAI (assignment) | ChargebackIQ (capstone)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boundary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The deterministic matcher decides match status. ReconAI may investigate exceptions, link SOP evidence and draft non-authoritative narratives. Dispositions, adjustments, write-offs and ledger postings are made only by reconciliation analysts/reviewers, and every transition is audited.</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Access &amp; honesty notes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Gemini Enterprise / ADK steps run only where access is approved; otherwise use mocks and record the design. Code status per day is copied from the workbook ("Reference app codebase + planned day-specific lab (not yet standalone)" for Days 1–15; named daywise demo files for Days 16–18) and is not claimed as a finished implementation.</w:t>
            </w:r>
          </w:p>
        </w:tc>
      </w:tr>
    </w:tbl>
    <w:p>
      <w:pPr>
        <w:pStyle w:val="Heading1"/>
      </w:pPr>
      <w:r>
        <w:rPr>
          <w:rFonts w:ascii="Arial" w:cs="Arial" w:eastAsia="Arial" w:hAnsi="Arial"/>
        </w:rPr>
        <w:t xml:space="preserve">2. Case Background</w:t>
      </w:r>
    </w:p>
    <w:p>
      <w:pPr>
        <w:spacing w:after="100"/>
        <w:rPr>
          <w:sz w:val="20"/>
          <w:szCs w:val="20"/>
        </w:rPr>
      </w:pPr>
      <w:r>
        <w:rPr>
          <w:rFonts w:ascii="Arial" w:cs="Arial" w:eastAsia="Arial" w:hAnsi="Arial"/>
          <w:sz w:val="20"/>
          <w:szCs w:val="20"/>
        </w:rPr>
        <w:t xml:space="preserve">ReconAI supports a bank’s reconciliation team. It compares the internal ledger with card/payment settlement files, raises exceptions (missing items, amount mismatches, duplicates, timing differences), links each exception to the governing reconciliation SOP, and drafts non-authoritative exception narratives for analyst review.</w:t>
      </w:r>
    </w:p>
    <w:p>
      <w:pPr>
        <w:spacing w:after="100"/>
        <w:rPr>
          <w:sz w:val="20"/>
          <w:szCs w:val="20"/>
        </w:rPr>
      </w:pPr>
      <w:r>
        <w:rPr>
          <w:rFonts w:ascii="Arial" w:cs="Arial" w:eastAsia="Arial" w:hAnsi="Arial"/>
          <w:sz w:val="20"/>
          <w:szCs w:val="20"/>
        </w:rPr>
        <w:t xml:space="preserve">The deterministic matcher is always the authority for match status. AI is added only around it: to explain, retrieve evidence and route work to reviewers — never to post adjustments or close exceptions.</w:t>
      </w:r>
    </w:p>
    <w:p>
      <w:pPr>
        <w:spacing w:after="100"/>
      </w:pPr>
      <w:r>
        <w:rPr>
          <w:rFonts w:ascii="Arial" w:cs="Arial" w:eastAsia="Arial" w:hAnsi="Arial"/>
          <w:b/>
          <w:bCs/>
          <w:sz w:val="20"/>
          <w:szCs w:val="20"/>
        </w:rPr>
        <w:t xml:space="preserve">Training data and templates (names as listed in the workbook File Index; all synthetic):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File</w:t>
            </w:r>
          </w:p>
        </w:tc>
        <w:tc>
          <w:tcPr>
            <w:tcW w:type="dxa" w:w="59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Use in this case</w:t>
            </w:r>
          </w:p>
        </w:tc>
      </w:tr>
      <w:t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data/ledger.csv</w:t>
            </w:r>
          </w:p>
        </w:tc>
        <w:tc>
          <w:tcPr>
            <w:tcW w:type="dxa" w:w="5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Internal ledger records</w:t>
            </w:r>
          </w:p>
        </w:tc>
      </w:tr>
      <w:t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data/settlement.csv</w:t>
            </w:r>
          </w:p>
        </w:tc>
        <w:tc>
          <w:tcPr>
            <w:tcW w:type="dxa" w:w="5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Settlement file records</w:t>
            </w:r>
          </w:p>
        </w:tc>
      </w:tr>
      <w:t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data/duplicate_settlement.csv</w:t>
            </w:r>
          </w:p>
        </w:tc>
        <w:tc>
          <w:tcPr>
            <w:tcW w:type="dxa" w:w="5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Fixture with duplicate settlement rows</w:t>
            </w:r>
          </w:p>
        </w:tc>
      </w:tr>
      <w:t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data/bad_amount.csv</w:t>
            </w:r>
          </w:p>
        </w:tc>
        <w:tc>
          <w:tcPr>
            <w:tcW w:type="dxa" w:w="5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Fixture with invalid amounts</w:t>
            </w:r>
          </w:p>
        </w:tc>
      </w:tr>
      <w:t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data/policies.json / data/golden.json</w:t>
            </w:r>
          </w:p>
        </w:tc>
        <w:tc>
          <w:tcPr>
            <w:tcW w:type="dxa" w:w="5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SOP excerpts and gold set for retrieval and sign-off evaluation</w:t>
            </w:r>
          </w:p>
        </w:tc>
      </w:tr>
    </w:tbl>
    <w:p>
      <w:pPr>
        <w:pStyle w:val="Heading1"/>
      </w:pPr>
      <w:r>
        <w:rPr>
          <w:rFonts w:ascii="Arial" w:cs="Arial" w:eastAsia="Arial" w:hAnsi="Arial"/>
        </w:rPr>
        <w:t xml:space="preserve">3. Session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1700"/>
        <w:gridCol w:w="800"/>
        <w:gridCol w:w="700"/>
        <w:gridCol w:w="2660"/>
        <w:gridCol w:w="900"/>
      </w:tblGrid>
      <w:tr>
        <w:trPr>
          <w:tblHeader/>
        </w:trPr>
        <w:tc>
          <w:tcPr>
            <w:tcW w:type="dxa" w:w="5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Day</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Exact modules</w:t>
            </w:r>
          </w:p>
        </w:tc>
        <w:tc>
          <w:tcPr>
            <w:tcW w:type="dxa" w:w="17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Source IDs</w:t>
            </w:r>
          </w:p>
        </w:tc>
        <w:tc>
          <w:tcPr>
            <w:tcW w:type="dxa" w:w="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Concept</w:t>
            </w:r>
          </w:p>
        </w:tc>
        <w:tc>
          <w:tcPr>
            <w:tcW w:type="dxa" w:w="7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Lab</w:t>
            </w:r>
          </w:p>
        </w:tc>
        <w:tc>
          <w:tcPr>
            <w:tcW w:type="dxa" w:w="26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Primary output</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Map ID</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Python for AI</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S001, S003, S004, S005</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schema manifest and control-total report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SOL-R01</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Gen AI &amp; Challenges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S006, S007, S008, S009, S010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Two reviewed exception examples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SOL-R02</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Gen AI &amp; Challenges | Prompt Engineering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S011, S012, S013, S014, S015, S016</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prompt library v1 and test matrix</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SOL-R03</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Prompt Engineering | LLM/LRM/LMM</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S017, S018, S019, S020, S021, S022</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JSON contract and prompt regression cases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SOL-R04</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LLM/LRM/LMM | Agentic Workflows – LangChain Essentials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S023, S024, S025, S026, S027</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vector-data plan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SOL-R05</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6</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Agentic Workflows – LangChain Essentials | Retrieval-Augmented Generation (RAG)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S028, S029, S030, S031, S032, S033</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Chain implementation brief</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SOL-R06</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7</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Retrieval-Augmented Generation (RAG)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S034, S035, S036, S037, S038, S039</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evidence-backed retrieval examples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SOL-R07</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8</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Retrieval-Augmented Generation (RAG)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S040, S041, S042, S043, S044, S045</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retrieval evaluation pack</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SOL-R08</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9</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Demystifying Agentic AI</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S046, S047, S048, S049, S050, S051</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 role and action policy</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SOL-R09</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10</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Demystifying Agentic AI | Context, Harness &amp; Loop Engineering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S052, S053, S054, S055, S056, S057, S058</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Controlled exception investigation trace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SOL-R10</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Context, Harness &amp; Loop Engineering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S059, S060, S061, S062, S063, S064, S065, S066</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Reviewer state transitions and evidence log</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SOL-R11</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LangGraph/CrewAI/AutoGen – Advanced AI Agents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S067, S068, S069, S070, S071</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graph and sample execution trace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SOL-R12</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t>LangGraph/CrewAI/AutoGen – Advanced AI Agents | Architecting Agentic Systems – MCP &amp; A2A Protocols | Applied Data Processing — Batch Fundamentals &amp; Streaming Fundamentals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S072, S073, S074, S075, S076, S077, S078</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Boundary diagram and message examples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SOL-R13</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t>Architecting Agentic Systems – MCP &amp; A2A Protocols | Gemini Enterprise Agent Development | Cloud Batch &amp; Event-Streaming Architecture — Pub/Sub, Dataflow/Apache Beam &amp; BigQuery</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S079, S080, S081, S082, S083, S084, S085, S086</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agent design and approval checklist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SOL-R14</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15</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t>Gemini Enterprise Agent Development | LLM Fine-Tuning &amp; Evaluation | Batch Validation &amp; Publisher Batching — Event Time, Windows, Watermarks &amp; Late Data</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S087, S088, S089, S090, S091, S092, S093</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evaluation notes and tuning recommendation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SOL-R15</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16</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t>Deployment, Evaluation &amp; Observability | Streaming Observability &amp; Delivery Semantics — Correlation, Acknowledgement &amp; Durable Processing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S094, S095, S096, S097, S098, S099, S100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0.75h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3.25h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integration trace and contract tests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SOL-R16</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17</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t>Deployment, Evaluation &amp; Observability | AI Validation/ Testing | Batch Backfill/Replay &amp; Stream Recovery — Idempotency, Duplicate Handling &amp; Failure Recovery</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S101, S102, S103, S104, S105, S106, S107, S108, S109</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0.75h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3.25h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regression evidence and rollback plan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SOL-R17</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18</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t>AI Validation/ Testing | Gemini Enterprise Deployment | Batch/Stream Production Readiness — Cutover, Rollback, Governance &amp; Release Validation</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S110, S111, S112, S113, S114, S115</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0.75h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3.25h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Final assignment report and reviewer sign-off</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SOL-R18</w:t>
            </w:r>
          </w:p>
        </w:tc>
      </w:tr>
    </w:tbl>
    <w:p>
      <w:pPr>
        <w:pStyle w:val="Heading1"/>
        <w:pageBreakBefore/>
      </w:pPr>
      <w:r>
        <w:rPr>
          <w:rFonts w:ascii="Arial" w:cs="Arial" w:eastAsia="Arial" w:hAnsi="Arial"/>
        </w:rPr>
        <w:t xml:space="preserve">4. Session-by-Session Detailed Work</w:t>
      </w:r>
    </w:p>
    <w:p>
      <w:pPr>
        <w:pStyle w:val="Heading2"/>
      </w:pPr>
      <w:r>
        <w:rPr>
          <w:rFonts w:ascii="Arial" w:cs="Arial" w:eastAsia="Arial" w:hAnsi="Arial"/>
        </w:rPr>
        <w:t xml:space="preserve">Day 1: Python/Data – define reconciliation input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Python for AI</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S001, S003, S004, S005</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Ledger.csv, settlement.csv, join keys and tolerances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Validate source schemas; calculate counts, totals and missing field exceptions.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ReconAI schema manifest and control-total report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The deterministic matcher decides match status. ReconAI may investigate exceptions, link SOP evidence and draft non-authoritative narratives. Dispositions, adjustments, write-offs and ledger postings are made only by reconciliation analysts/reviewers, and every transition is audited.</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SOL-R01 | Day 01 / SOL-R01</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Day01_SourceLocked_5W1H_Architecture.pptx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Data → Python validation → Banking API → Audit log</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S001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Python for AI  | Python Basics &amp; Syntax</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S003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Variables, Operators, Conditional Statements, Loops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S004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Data Structures: Lists, Tuples, Sets, Dictionaries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S005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*Functions, FAST API, File Handling &amp; Error Handling*</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ReconAI activity</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Python for AI | Python Basics &amp; Syntax</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define reconciliation input contract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Variables, Operators, Conditional Statements, Loops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define reconciliation input contract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2, 3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Data Structures: Lists, Tuples, Sets, Dictionaries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define reconciliation input contract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S005</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*Functions, FAST API, File Handling &amp; Error Handling*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Validate source schemas; calculate counts, totals and missing field exceptions.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 descr="Day 1 workflow for ReconAI" title="Day 1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S001</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Write the ReconAI brief with 5W1H: who reconciles, which sources (ledger vs settlement), when it runs, why exceptions matter, how results are approved; set up the Python project.</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Reconciliation is a control; scope and authority must be fixed first.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5W1H brief + project skeleton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S003</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the input contract: fields, types, join keys (txn_ref, value_date, currency) and amount tolerance.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 written contract lets every later check be automated.</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Schema manifest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S003</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Validate each row using variables, operators, conditionals and loops, including bad_amount.csv.</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Invalid rows must be exceptions, not silent mismatches.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Row validation results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S004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Index ledger and settlement rows in dictionaries by join key and detect duplicates with sets using duplicate_settlement.csv.</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Correct structures make matching and duplicate detection reliable.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Keyed indexes + duplicate list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S005</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Wrap logic in functions with file and error handling; compute counts, totals and missing-field exceptions.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Control totals prove completeness before matching begins.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Control-total report</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Write the ReconAI brief with 5W1H: who reconciles, which sources (ledger vs settlement), when it runs, why exceptions matter, how results are approved; set up the Python project.</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S001</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Name ledger.csv and settlement.csv as sources; state that the matcher, not AI, decides match status; create the src/ layout.</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Reconciliation is a control; scope and authority must be fixed first.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Recon 5W1H brief + project skeleton</w:t>
      </w:r>
    </w:p>
    <w:p>
      <w:pPr>
        <w:spacing w:after="60" w:before="120"/>
      </w:pPr>
      <w:r>
        <w:rPr>
          <w:rFonts w:ascii="Arial" w:cs="Arial" w:eastAsia="Arial" w:hAnsi="Arial"/>
          <w:b/>
          <w:bCs/>
          <w:color w:val="17365D"/>
          <w:sz w:val="20"/>
          <w:szCs w:val="20"/>
        </w:rPr>
        <w:t xml:space="preserve">Step 2 – Define the input contract: fields, types, join keys (txn_ref, value_date, currency) and amount tolerance.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S003</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List each field with type and required flag; state tolerance (e.g., 0.01) and date window; store as schema_manifest.json.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 written contract lets every later check be automated.</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Schema manifest</w:t>
      </w:r>
    </w:p>
    <w:p>
      <w:pPr>
        <w:spacing w:after="60" w:before="120"/>
      </w:pPr>
      <w:r>
        <w:rPr>
          <w:rFonts w:ascii="Arial" w:cs="Arial" w:eastAsia="Arial" w:hAnsi="Arial"/>
          <w:b/>
          <w:bCs/>
          <w:color w:val="17365D"/>
          <w:sz w:val="20"/>
          <w:szCs w:val="20"/>
        </w:rPr>
        <w:t xml:space="preserve">Step 3 – Validate each row using variables, operators, conditionals and loops, including bad_amount.csv.</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S003</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Check required fields, numeric amount, currency code, date format; record failures with row and rule.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Invalid rows must be exceptions, not silent mismatches.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Row validation results</w:t>
      </w:r>
    </w:p>
    <w:p>
      <w:pPr>
        <w:spacing w:after="60" w:before="120"/>
      </w:pPr>
      <w:r>
        <w:rPr>
          <w:rFonts w:ascii="Arial" w:cs="Arial" w:eastAsia="Arial" w:hAnsi="Arial"/>
          <w:b/>
          <w:bCs/>
          <w:color w:val="17365D"/>
          <w:sz w:val="20"/>
          <w:szCs w:val="20"/>
        </w:rPr>
        <w:t xml:space="preserve">Step 4 – Index ledger and settlement rows in dictionaries by join key and detect duplicates with sets using duplicate_settlement.csv.</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S004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dict[(txn_ref, currency)] → row; a seen-set flags duplicates; list keys missing on either side.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Correct structures make matching and duplicate detection reliable.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Keyed indexes + duplicate list</w:t>
      </w:r>
    </w:p>
    <w:p>
      <w:pPr>
        <w:spacing w:after="60" w:before="120"/>
      </w:pPr>
      <w:r>
        <w:rPr>
          <w:rFonts w:ascii="Arial" w:cs="Arial" w:eastAsia="Arial" w:hAnsi="Arial"/>
          <w:b/>
          <w:bCs/>
          <w:color w:val="17365D"/>
          <w:sz w:val="20"/>
          <w:szCs w:val="20"/>
        </w:rPr>
        <w:t xml:space="preserve">Step 5 – Wrap logic in functions with file and error handling; compute counts, totals and missing-field exceptions.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S005</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Per source: row count, amount total by currency, invalid count; difference ledger vs settlement; save control_total_report.json.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Control totals prove completeness before matching begins.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Control-total report</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Ledger.csv, settlement.csv, join keys and tolerances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Recon 5W1H brief → Schema manifest → Row validation → Keyed structures → Control-total report</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ReconAI schema manifest and control-total report</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ReconAI schema manifest and control-total report.</w:t>
      </w:r>
    </w:p>
    <w:p>
      <w:pPr>
        <w:pStyle w:val="ListParagraph"/>
        <w:numPr>
          <w:ilvl w:val="0"/>
          <w:numId w:val="2"/>
        </w:numPr>
        <w:spacing w:after="60"/>
      </w:pPr>
      <w:r>
        <w:rPr>
          <w:rFonts w:ascii="Arial" w:cs="Arial" w:eastAsia="Arial" w:hAnsi="Arial"/>
          <w:sz w:val="20"/>
          <w:szCs w:val="20"/>
        </w:rPr>
        <w:t xml:space="preserve">Control totals reconcile to raw file totals before and after validation.</w:t>
      </w:r>
    </w:p>
    <w:p>
      <w:pPr>
        <w:pStyle w:val="ListParagraph"/>
        <w:numPr>
          <w:ilvl w:val="0"/>
          <w:numId w:val="2"/>
        </w:numPr>
        <w:spacing w:after="60"/>
      </w:pPr>
      <w:r>
        <w:rPr>
          <w:rFonts w:ascii="Arial" w:cs="Arial" w:eastAsia="Arial" w:hAnsi="Arial"/>
          <w:sz w:val="20"/>
          <w:szCs w:val="20"/>
        </w:rPr>
        <w:t xml:space="preserve">Duplicates and bad amounts appear as named exceptions.</w:t>
      </w:r>
    </w:p>
    <w:p>
      <w:pPr>
        <w:pStyle w:val="ListParagraph"/>
        <w:numPr>
          <w:ilvl w:val="0"/>
          <w:numId w:val="2"/>
        </w:numPr>
        <w:spacing w:after="60"/>
      </w:pPr>
      <w:r>
        <w:rPr>
          <w:rFonts w:ascii="Arial" w:cs="Arial" w:eastAsia="Arial" w:hAnsi="Arial"/>
          <w:sz w:val="20"/>
          <w:szCs w:val="20"/>
        </w:rPr>
        <w:t xml:space="preserve">Every step traces to its hourly block and source IDs (S001, S003, S004, S005);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ReconAI schema manifest and control-total report becomes an explicit input for Day 2 — ReconAI: exception explanation prototype (Day 2 input: Two mismatched reconciliation samples).</w:t>
      </w:r>
    </w:p>
    <w:p>
      <w:pPr>
        <w:pStyle w:val="Heading2"/>
        <w:pageBreakBefore/>
      </w:pPr>
      <w:r>
        <w:rPr>
          <w:rFonts w:ascii="Arial" w:cs="Arial" w:eastAsia="Arial" w:hAnsi="Arial"/>
        </w:rPr>
        <w:t xml:space="preserve">Day 2: GenAI – exception explanation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Gen AI &amp; Challenges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S006, S007, S008, S009, S010</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S001, S003, S004, S005</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Two mismatched reconciliation samples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Draft non-authoritative exception narratives and document evidence gaps.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Two reviewed exception examples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The deterministic matcher decides match status. ReconAI may investigate exceptions, link SOP evidence and draft non-authoritative narratives. Dispositions, adjustments, write-offs and ledger postings are made only by reconciliation analysts/reviewers, and every transition is audited.</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SOL-R02 | Day 02 / SOL-R02</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Day02_SourceLocked_5W1H_Architecture.pptx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Banking record → AI task boundary → Draft explanation → Reviewer</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S006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Gen AI &amp; Challenges  | AI vs ML vs GenAI</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S007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Core Principles of GenAI</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S008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Types of GenAI Models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S009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How Generative Models Create Data; Key Challenges: Bias, Hallucination, Stochasticity</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Business and Technical Challenges in Deployment</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ReconAI activity</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Gen AI &amp; Challenges | AI vs ML vs GenAI</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exception explanation prototype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S007</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Core Principles of GenAI</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exception explanation prototype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Types of GenAI Models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exception explanation prototype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3, 4</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S009, S010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How Generative Models Create Data; Key Challenges: Bias, Hallucination, Stochasticity</w:t>
            </w:r>
          </w:p>
          <w:p>
            <w:pPr>
              <w:spacing w:after="20"/>
            </w:pPr>
            <w:r>
              <w:rPr>
                <w:rFonts w:ascii="Arial" w:cs="Arial" w:eastAsia="Arial" w:hAnsi="Arial"/>
                <w:sz w:val="15"/>
                <w:szCs w:val="15"/>
              </w:rPr>
              <w:t xml:space="preserve">Business and Technical Challenges in Deployment</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Draft non-authoritative exception narratives and document evidence gaps.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2" descr="Day 2 workflow for ReconAI" title="Day 2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S006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Separate reconciliation tasks into deterministic (matching, totals) and GenAI (exception narratives).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Match status is a financial control and must stay deterministic.</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Responsibility split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S007</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Select two mismatched samples (amount difference; missing in settlement) and assemble their evidence.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Narratives must be tested on real exception shapes.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Sample exception packs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S008</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Choose a GenAI model type suitable for short factual narratives.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choice affects cost and factual discipline.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choice note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S008</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Draft non-authoritative exception narratives from the evidence packs.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Analysts save time only if drafts are clearly labelled and grounded.</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Two draft narratives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S009, S010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Document hallucination/stochasticity risks and evidence gaps; get reviewer comments.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Unsupported statements must be caught before reuse.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Two reviewed exception examples</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Separate reconciliation tasks into deterministic (matching, totals) and GenAI (exception narratives).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S006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Build a table of reconciliation tasks (load, validate, match, total, explain, disposition) with technique (code / GenAI / human) and a one-line rationale; confirm matching stays in code.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Match status is a financial control and must stay deterministic.</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Responsibility split</w:t>
      </w:r>
    </w:p>
    <w:p>
      <w:pPr>
        <w:spacing w:after="60" w:before="120"/>
      </w:pPr>
      <w:r>
        <w:rPr>
          <w:rFonts w:ascii="Arial" w:cs="Arial" w:eastAsia="Arial" w:hAnsi="Arial"/>
          <w:b/>
          <w:bCs/>
          <w:color w:val="17365D"/>
          <w:sz w:val="20"/>
          <w:szCs w:val="20"/>
        </w:rPr>
        <w:t xml:space="preserve">Step 2 – Select two mismatched samples (amount difference; missing in settlement) and assemble their evidence.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S007</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For each: both records (masked), difference, matcher reason code.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Narratives must be tested on real exception shapes.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Sample exception packs</w:t>
      </w:r>
    </w:p>
    <w:p>
      <w:pPr>
        <w:spacing w:after="60" w:before="120"/>
      </w:pPr>
      <w:r>
        <w:rPr>
          <w:rFonts w:ascii="Arial" w:cs="Arial" w:eastAsia="Arial" w:hAnsi="Arial"/>
          <w:b/>
          <w:bCs/>
          <w:color w:val="17365D"/>
          <w:sz w:val="20"/>
          <w:szCs w:val="20"/>
        </w:rPr>
        <w:t xml:space="preserve">Step 3 – Choose a GenAI model type suitable for short factual narratives.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S008</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Run the two evidence packs through two candidate model types with the same prompt; compare factual accuracy, length and cost; record the choice and a fallback.</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Model choice affects cost and factual discipline.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Model choice note</w:t>
      </w:r>
    </w:p>
    <w:p>
      <w:pPr>
        <w:spacing w:after="60" w:before="120"/>
      </w:pPr>
      <w:r>
        <w:rPr>
          <w:rFonts w:ascii="Arial" w:cs="Arial" w:eastAsia="Arial" w:hAnsi="Arial"/>
          <w:b/>
          <w:bCs/>
          <w:color w:val="17365D"/>
          <w:sz w:val="20"/>
          <w:szCs w:val="20"/>
        </w:rPr>
        <w:t xml:space="preserve">Step 4 – Draft non-authoritative exception narratives from the evidence packs.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S008</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Prefix 'DRAFT – for analyst review'; reference only fields in the pack.</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Analysts save time only if drafts are clearly labelled and grounded.</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Two draft narratives</w:t>
      </w:r>
    </w:p>
    <w:p>
      <w:pPr>
        <w:spacing w:after="60" w:before="120"/>
      </w:pPr>
      <w:r>
        <w:rPr>
          <w:rFonts w:ascii="Arial" w:cs="Arial" w:eastAsia="Arial" w:hAnsi="Arial"/>
          <w:b/>
          <w:bCs/>
          <w:color w:val="17365D"/>
          <w:sz w:val="20"/>
          <w:szCs w:val="20"/>
        </w:rPr>
        <w:t xml:space="preserve">Step 5 – Document hallucination/stochasticity risks and evidence gaps; get reviewer comments.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S009, S010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Mark each sentence supported/unsupported; list missing evidence; record reviewer outcome.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Unsupported statements must be caught before reuse.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Two reviewed exception examples</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Two mismatched reconciliation samples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Deterministic vs GenAI → Select samples → Model type for narratives → Draft narratives → Evidence gaps + review</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Two reviewed exception examples</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Two reviewed exception examples.</w:t>
      </w:r>
    </w:p>
    <w:p>
      <w:pPr>
        <w:pStyle w:val="ListParagraph"/>
        <w:numPr>
          <w:ilvl w:val="0"/>
          <w:numId w:val="2"/>
        </w:numPr>
        <w:spacing w:after="60"/>
      </w:pPr>
      <w:r>
        <w:rPr>
          <w:rFonts w:ascii="Arial" w:cs="Arial" w:eastAsia="Arial" w:hAnsi="Arial"/>
          <w:sz w:val="20"/>
          <w:szCs w:val="20"/>
        </w:rPr>
        <w:t xml:space="preserve">Both narratives are labelled non-authoritative.</w:t>
      </w:r>
    </w:p>
    <w:p>
      <w:pPr>
        <w:pStyle w:val="ListParagraph"/>
        <w:numPr>
          <w:ilvl w:val="0"/>
          <w:numId w:val="2"/>
        </w:numPr>
        <w:spacing w:after="60"/>
      </w:pPr>
      <w:r>
        <w:rPr>
          <w:rFonts w:ascii="Arial" w:cs="Arial" w:eastAsia="Arial" w:hAnsi="Arial"/>
          <w:sz w:val="20"/>
          <w:szCs w:val="20"/>
        </w:rPr>
        <w:t xml:space="preserve">Every unsupported statement is flagged.</w:t>
      </w:r>
    </w:p>
    <w:p>
      <w:pPr>
        <w:pStyle w:val="ListParagraph"/>
        <w:numPr>
          <w:ilvl w:val="0"/>
          <w:numId w:val="2"/>
        </w:numPr>
        <w:spacing w:after="60"/>
      </w:pPr>
      <w:r>
        <w:rPr>
          <w:rFonts w:ascii="Arial" w:cs="Arial" w:eastAsia="Arial" w:hAnsi="Arial"/>
          <w:sz w:val="20"/>
          <w:szCs w:val="20"/>
        </w:rPr>
        <w:t xml:space="preserve">Every step traces to its hourly block and source IDs (S006, S007, S008, S009, S010);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Two reviewed exception examples becomes an explicit input for Day 3 — ReconAI: structured reconciliation prompt (Day 3 input: Known mismatches and exception taxonomy).</w:t>
      </w:r>
    </w:p>
    <w:p>
      <w:pPr>
        <w:pStyle w:val="Heading2"/>
        <w:pageBreakBefore/>
      </w:pPr>
      <w:r>
        <w:rPr>
          <w:rFonts w:ascii="Arial" w:cs="Arial" w:eastAsia="Arial" w:hAnsi="Arial"/>
        </w:rPr>
        <w:t xml:space="preserve">Day 3: GenAI + Prompts – structured reconciliation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Gen AI &amp; Challenges | Prompt Engineering</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S011, S012, S013, S014, S015, S016</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S006, S007, S008, S009, S010</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Known mismatches and exception taxonomy</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Create exception prompt with examples; prohibit unsupported root causes.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Recon prompt library v1 and test matrix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The deterministic matcher decides match status. ReconAI may investigate exceptions, link SOP evidence and draft non-authoritative narratives. Dispositions, adjustments, write-offs and ledger postings are made only by reconciliation analysts/reviewers, and every transition is audited.</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SOL-R03 | Day 03 / SOL-R03</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Day03_SourceLocked_5W1H_Architecture.pptx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Masked records → Prompt contract → Model → Rule validation</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Guardrail Solutions: Bias Mitigation (balanced datasets, fairness metrics, post-processing)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Security Approaches (prompt injection defense, data anonymization, differential privacy)</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Guardrail Techniques (RLHF, Constitutional AI, red-teaming, moderation APIs)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Prompt Engineering  | Prompt Anatomy &amp; Context Types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Zero-shot, One-shot, Few-shot Prompting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Chain-of-Thought Prompting</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ReconAI activity</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Guardrail Solutions: Bias Mitigation (balanced datasets, fairness metrics, post-processing)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structured reconciliation prompt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S012, S013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Security Approaches (prompt injection defense, data anonymization, differential privacy)</w:t>
            </w:r>
          </w:p>
          <w:p>
            <w:pPr>
              <w:spacing w:after="20"/>
            </w:pPr>
            <w:r>
              <w:rPr>
                <w:rFonts w:ascii="Arial" w:cs="Arial" w:eastAsia="Arial" w:hAnsi="Arial"/>
                <w:sz w:val="15"/>
                <w:szCs w:val="15"/>
              </w:rPr>
              <w:t xml:space="preserve">Guardrail Techniques (RLHF, Constitutional AI, red-teaming, moderation APIs)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structured reconciliation prompt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Prompt Engineering | Prompt Anatomy &amp; Context Types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structured reconciliation prompt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S015, S016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Zero-shot, One-shot, Few-shot Prompting</w:t>
            </w:r>
          </w:p>
          <w:p>
            <w:pPr>
              <w:spacing w:after="20"/>
            </w:pPr>
            <w:r>
              <w:rPr>
                <w:rFonts w:ascii="Arial" w:cs="Arial" w:eastAsia="Arial" w:hAnsi="Arial"/>
                <w:sz w:val="15"/>
                <w:szCs w:val="15"/>
              </w:rPr>
              <w:t xml:space="preserve">Chain-of-Thought Prompting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Create exception prompt with examples; prohibit unsupported root causes.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4, 5</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3" descr="Day 3 workflow for ReconAI" title="Day 3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S011</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the exception taxonomy and check narratives for biased language about counterparties.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 fixed taxonomy anchors prompts, tests and reporting; neutral wording avoids implying counterparty fault.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Exception taxonomy</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S012, S013</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Mask account references and defend against injection in free-text narrative fields; choose guardrail techniques.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Settlement memo fields are untrusted text that could carry instructions or sensitive references.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security controls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S014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Write the exception prompt with role, task, context, constraints and output format.</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Named prompt parts make the recon prompt reviewable, versionable and testable.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prompt v1</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S015, S016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Create zero-, one- and few-shot variants with example exceptions.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Examples teach the expected exception format and tone better than instructions alone.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Prompt variants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S015, S016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Add a chain-of-thought variant and a rule returning 'root cause undetermined' without evidence; build the test matrix.</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An unsupported root cause in a reconciliation record is a control failure, not a style issue.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prompt library v1 + test matrix</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Define the exception taxonomy and check narratives for biased language about counterparties.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S011</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missing_in_settlement, missing_in_ledger, amount_mismatch, duplicate, timing; neutral wording rule.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 fixed taxonomy anchors prompts, tests and reporting; neutral wording avoids implying counterparty fault.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Exception taxonomy</w:t>
      </w:r>
    </w:p>
    <w:p>
      <w:pPr>
        <w:spacing w:after="60" w:before="120"/>
      </w:pPr>
      <w:r>
        <w:rPr>
          <w:rFonts w:ascii="Arial" w:cs="Arial" w:eastAsia="Arial" w:hAnsi="Arial"/>
          <w:b/>
          <w:bCs/>
          <w:color w:val="17365D"/>
          <w:sz w:val="20"/>
          <w:szCs w:val="20"/>
        </w:rPr>
        <w:t xml:space="preserve">Step 2 – Mask account references and defend against injection in free-text narrative fields; choose guardrail techniques.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S012, S013</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Masking rule; delimiters; injection tests; moderation check.</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Settlement memo fields are untrusted text that could carry instructions or sensitive references.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Recon security controls</w:t>
      </w:r>
    </w:p>
    <w:p>
      <w:pPr>
        <w:spacing w:after="60" w:before="120"/>
      </w:pPr>
      <w:r>
        <w:rPr>
          <w:rFonts w:ascii="Arial" w:cs="Arial" w:eastAsia="Arial" w:hAnsi="Arial"/>
          <w:b/>
          <w:bCs/>
          <w:color w:val="17365D"/>
          <w:sz w:val="20"/>
          <w:szCs w:val="20"/>
        </w:rPr>
        <w:t xml:space="preserve">Step 3 – Write the exception prompt with role, task, context, constraints and output format.</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S014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Include taxonomy; forbid stating root causes not in evidence.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Named prompt parts make the recon prompt reviewable, versionable and testable.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Recon prompt v1</w:t>
      </w:r>
    </w:p>
    <w:p>
      <w:pPr>
        <w:spacing w:after="60" w:before="120"/>
      </w:pPr>
      <w:r>
        <w:rPr>
          <w:rFonts w:ascii="Arial" w:cs="Arial" w:eastAsia="Arial" w:hAnsi="Arial"/>
          <w:b/>
          <w:bCs/>
          <w:color w:val="17365D"/>
          <w:sz w:val="20"/>
          <w:szCs w:val="20"/>
        </w:rPr>
        <w:t xml:space="preserve">Step 4 – Create zero-, one- and few-shot variants with example exceptions.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S015, S016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Write zero-shot, one-shot and few-shot variants; the few-shot variant carries one masked example per taxonomy type; keep examples in a versioned file.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Examples teach the expected exception format and tone better than instructions alone.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Prompt variants</w:t>
      </w:r>
    </w:p>
    <w:p>
      <w:pPr>
        <w:spacing w:after="60" w:before="120"/>
      </w:pPr>
      <w:r>
        <w:rPr>
          <w:rFonts w:ascii="Arial" w:cs="Arial" w:eastAsia="Arial" w:hAnsi="Arial"/>
          <w:b/>
          <w:bCs/>
          <w:color w:val="17365D"/>
          <w:sz w:val="20"/>
          <w:szCs w:val="20"/>
        </w:rPr>
        <w:t xml:space="preserve">Step 5 – Add a chain-of-thought variant and a rule returning 'root cause undetermined' without evidence; build the test matrix.</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S015, S016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Matrix: case × variant × pass/fail on accuracy and no-guess rule.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An unsupported root cause in a reconciliation record is a control failure, not a style issue.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Recon prompt library v1 + test matrix</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Known mismatches and exception taxonomy</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Exception taxonomy + bias → Security + guardrails → Recon prompt anatomy → Shot variants → CoT + no-guess rule</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Recon prompt library v1 and test matrix</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Recon prompt library v1 and test matrix.</w:t>
      </w:r>
    </w:p>
    <w:p>
      <w:pPr>
        <w:pStyle w:val="ListParagraph"/>
        <w:numPr>
          <w:ilvl w:val="0"/>
          <w:numId w:val="2"/>
        </w:numPr>
        <w:spacing w:after="60"/>
      </w:pPr>
      <w:r>
        <w:rPr>
          <w:rFonts w:ascii="Arial" w:cs="Arial" w:eastAsia="Arial" w:hAnsi="Arial"/>
          <w:sz w:val="20"/>
          <w:szCs w:val="20"/>
        </w:rPr>
        <w:t xml:space="preserve">No test output states a root cause absent from evidence.</w:t>
      </w:r>
    </w:p>
    <w:p>
      <w:pPr>
        <w:pStyle w:val="ListParagraph"/>
        <w:numPr>
          <w:ilvl w:val="0"/>
          <w:numId w:val="2"/>
        </w:numPr>
        <w:spacing w:after="60"/>
      </w:pPr>
      <w:r>
        <w:rPr>
          <w:rFonts w:ascii="Arial" w:cs="Arial" w:eastAsia="Arial" w:hAnsi="Arial"/>
          <w:sz w:val="20"/>
          <w:szCs w:val="20"/>
        </w:rPr>
        <w:t xml:space="preserve">The test matrix covers every taxonomy type.</w:t>
      </w:r>
    </w:p>
    <w:p>
      <w:pPr>
        <w:pStyle w:val="ListParagraph"/>
        <w:numPr>
          <w:ilvl w:val="0"/>
          <w:numId w:val="2"/>
        </w:numPr>
        <w:spacing w:after="60"/>
      </w:pPr>
      <w:r>
        <w:rPr>
          <w:rFonts w:ascii="Arial" w:cs="Arial" w:eastAsia="Arial" w:hAnsi="Arial"/>
          <w:sz w:val="20"/>
          <w:szCs w:val="20"/>
        </w:rPr>
        <w:t xml:space="preserve">Every step traces to its hourly block and source IDs (S011, S012, S013, S014, S015, S016);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Recon prompt library v1 and test matrix becomes an explicit input for Day 4 — ReconAI: schema-constrained remediation summaries (Day 4 input: Mismatch examples, policy metadata and expected JSON schema).</w:t>
      </w:r>
    </w:p>
    <w:p>
      <w:pPr>
        <w:pStyle w:val="Heading2"/>
        <w:pageBreakBefore/>
      </w:pPr>
      <w:r>
        <w:rPr>
          <w:rFonts w:ascii="Arial" w:cs="Arial" w:eastAsia="Arial" w:hAnsi="Arial"/>
        </w:rPr>
        <w:t xml:space="preserve">Day 4: Prompts + Models – schema-constrained remediation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Prompt Engineering | LLM/LRM/LMM</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S017, S018, S019, S020, S021, S022</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S014, S015, S016</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Mismatch examples, policy metadata and expected JSON schema</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Add function-call prompt examples, failure handling, adversarial testing.</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Recon JSON contract and prompt regression cases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The deterministic matcher decides match status. ReconAI may investigate exceptions, link SOP evidence and draft non-authoritative narratives. Dispositions, adjustments, write-offs and ledger postings are made only by reconciliation analysts/reviewers, and every transition is audited.</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SOL-R04 | Day 04 / SOL-R04</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Day04_SourceLocked_5W1H_Architecture.pptx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Prompt → Structured model I/O → JSON schema → Escalation</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Prompt Interventions &amp; Prompt Tuning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Adversarial Prompting &amp; Prompt Security</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Prompts for Agents &amp; ReAct-style Prompting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*Structured Output Prompting (JSON mode, schemas, function-call prompts)*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LLM/LRM/LMM  | LLMs vs LRMs vs LMMs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Transformers Architecture, Scaling Laws</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ReconAI activity</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S017</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Prompt Interventions &amp; Prompt Tuning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schema-constrained remediation summaries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S018, S019</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Adversarial Prompting &amp; Prompt Security</w:t>
            </w:r>
          </w:p>
          <w:p>
            <w:pPr>
              <w:spacing w:after="20"/>
            </w:pPr>
            <w:r>
              <w:rPr>
                <w:rFonts w:ascii="Arial" w:cs="Arial" w:eastAsia="Arial" w:hAnsi="Arial"/>
                <w:sz w:val="15"/>
                <w:szCs w:val="15"/>
              </w:rPr>
              <w:t xml:space="preserve">Prompts for Agents &amp; ReAct-style Prompting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schema-constrained remediation summaries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*Structured Output Prompting (JSON mode, schemas, function-call prompts)*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schema-constrained remediation summaries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3, 4</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S021, S022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LLM/LRM/LMM | LLMs vs LRMs vs LMMs</w:t>
            </w:r>
          </w:p>
          <w:p>
            <w:pPr>
              <w:spacing w:after="20"/>
            </w:pPr>
            <w:r>
              <w:rPr>
                <w:rFonts w:ascii="Arial" w:cs="Arial" w:eastAsia="Arial" w:hAnsi="Arial"/>
                <w:sz w:val="15"/>
                <w:szCs w:val="15"/>
              </w:rPr>
              <w:t xml:space="preserve">Transformers Architecture, Scaling Laws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Add function-call prompt examples, failure handling, adversarial testing.</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4" descr="Day 4 workflow for ReconAI" title="Day 4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S017</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Apply versioned prompt interventions to the Day 3 library.</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Versioned single changes show which intervention actually improved accuracy.</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Prompt change log</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S018, S019</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Run adversarial prompts and ReAct-style prompt drafts for exception lookup.</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Weaknesses must be found before the model is connected to matcher and SOP tools.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Adversarial findings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S020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the remediation JSON schema with function-call prompt examples.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Downstream queues need structured, validated output.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JSON contract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S020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Add validation, retry and reject handling for invalid output.</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Invalid output must never enter the exception queue.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Failure-handling rules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S021, S022</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Compare LLM/LRM options for the contract and record prompt regression cases.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 frozen regression set locks accepted behaviour so later changes can be controlled.</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Prompt regression cases</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Apply versioned prompt interventions to the Day 3 library.</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S017</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Change one prompt element per version (instruction, example, constraint); re-run the Day 3 test matrix; log version, change and score delta in the change log.</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Versioned single changes show which intervention actually improved accuracy.</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Prompt change log</w:t>
      </w:r>
    </w:p>
    <w:p>
      <w:pPr>
        <w:spacing w:after="60" w:before="120"/>
      </w:pPr>
      <w:r>
        <w:rPr>
          <w:rFonts w:ascii="Arial" w:cs="Arial" w:eastAsia="Arial" w:hAnsi="Arial"/>
          <w:b/>
          <w:bCs/>
          <w:color w:val="17365D"/>
          <w:sz w:val="20"/>
          <w:szCs w:val="20"/>
        </w:rPr>
        <w:t xml:space="preserve">Step 2 – Run adversarial prompts and ReAct-style prompt drafts for exception lookup.</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S018, S019</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Insert injection text into settlement memo fields and ask the model to 'mark as matched'; draft a ReAct-style lookup prompt with read-only actions; record pass/fail and mitigation.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Weaknesses must be found before the model is connected to matcher and SOP tools.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Adversarial findings</w:t>
      </w:r>
    </w:p>
    <w:p>
      <w:pPr>
        <w:spacing w:after="60" w:before="120"/>
      </w:pPr>
      <w:r>
        <w:rPr>
          <w:rFonts w:ascii="Arial" w:cs="Arial" w:eastAsia="Arial" w:hAnsi="Arial"/>
          <w:b/>
          <w:bCs/>
          <w:color w:val="17365D"/>
          <w:sz w:val="20"/>
          <w:szCs w:val="20"/>
        </w:rPr>
        <w:t xml:space="preserve">Step 3 – Define the remediation JSON schema with function-call prompt examples.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S020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Fields: exception_id, type, evidence_refs, proposed_next_step, root_cause (enum incl. 'undetermined'), requires_reviewer=true.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Downstream queues need structured, validated output.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Recon JSON contract</w:t>
      </w:r>
    </w:p>
    <w:p>
      <w:pPr>
        <w:spacing w:after="60" w:before="120"/>
      </w:pPr>
      <w:r>
        <w:rPr>
          <w:rFonts w:ascii="Arial" w:cs="Arial" w:eastAsia="Arial" w:hAnsi="Arial"/>
          <w:b/>
          <w:bCs/>
          <w:color w:val="17365D"/>
          <w:sz w:val="20"/>
          <w:szCs w:val="20"/>
        </w:rPr>
        <w:t xml:space="preserve">Step 4 – Add validation, retry and reject handling for invalid output.</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S020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Validate every output with pydantic/jsonschema; retry once with the validation error appended; if it fails again, route the exception to the manual queue and log the reason.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Invalid output must never enter the exception queue.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Failure-handling rules</w:t>
      </w:r>
    </w:p>
    <w:p>
      <w:pPr>
        <w:spacing w:after="60" w:before="120"/>
      </w:pPr>
      <w:r>
        <w:rPr>
          <w:rFonts w:ascii="Arial" w:cs="Arial" w:eastAsia="Arial" w:hAnsi="Arial"/>
          <w:b/>
          <w:bCs/>
          <w:color w:val="17365D"/>
          <w:sz w:val="20"/>
          <w:szCs w:val="20"/>
        </w:rPr>
        <w:t xml:space="preserve">Step 5 – Compare LLM/LRM options for the contract and record prompt regression cases.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S021, S022</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Run the contract on two model classes where available; compare schema-valid rate, latency and cost per exception; freeze the passing cases as the regression set.</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 frozen regression set locks accepted behaviour so later changes can be controlled.</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Prompt regression cases</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Mismatch examples, policy metadata and expected JSON schema</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Prompt interventions → Adversarial tests → Recon JSON contract → Failure handling → Model class + regression</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Recon JSON contract and prompt regression cases</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Recon JSON contract and prompt regression cases.</w:t>
      </w:r>
    </w:p>
    <w:p>
      <w:pPr>
        <w:pStyle w:val="ListParagraph"/>
        <w:numPr>
          <w:ilvl w:val="0"/>
          <w:numId w:val="2"/>
        </w:numPr>
        <w:spacing w:after="60"/>
      </w:pPr>
      <w:r>
        <w:rPr>
          <w:rFonts w:ascii="Arial" w:cs="Arial" w:eastAsia="Arial" w:hAnsi="Arial"/>
          <w:sz w:val="20"/>
          <w:szCs w:val="20"/>
        </w:rPr>
        <w:t xml:space="preserve">All accepted outputs validate against the JSON contract.</w:t>
      </w:r>
    </w:p>
    <w:p>
      <w:pPr>
        <w:pStyle w:val="ListParagraph"/>
        <w:numPr>
          <w:ilvl w:val="0"/>
          <w:numId w:val="2"/>
        </w:numPr>
        <w:spacing w:after="60"/>
      </w:pPr>
      <w:r>
        <w:rPr>
          <w:rFonts w:ascii="Arial" w:cs="Arial" w:eastAsia="Arial" w:hAnsi="Arial"/>
          <w:sz w:val="20"/>
          <w:szCs w:val="20"/>
        </w:rPr>
        <w:t xml:space="preserve">requires_reviewer is always true.</w:t>
      </w:r>
    </w:p>
    <w:p>
      <w:pPr>
        <w:pStyle w:val="ListParagraph"/>
        <w:numPr>
          <w:ilvl w:val="0"/>
          <w:numId w:val="2"/>
        </w:numPr>
        <w:spacing w:after="60"/>
      </w:pPr>
      <w:r>
        <w:rPr>
          <w:rFonts w:ascii="Arial" w:cs="Arial" w:eastAsia="Arial" w:hAnsi="Arial"/>
          <w:sz w:val="20"/>
          <w:szCs w:val="20"/>
        </w:rPr>
        <w:t xml:space="preserve">Every step traces to its hourly block and source IDs (S017, S018, S019, S020, S021, S022);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Recon JSON contract and prompt regression cases becomes an explicit input for Day 5 — ReconAI: SOP representation (Day 5 input: Reconciliation SOP excerpts).</w:t>
      </w:r>
    </w:p>
    <w:p>
      <w:pPr>
        <w:pStyle w:val="Heading2"/>
        <w:pageBreakBefore/>
      </w:pPr>
      <w:r>
        <w:rPr>
          <w:rFonts w:ascii="Arial" w:cs="Arial" w:eastAsia="Arial" w:hAnsi="Arial"/>
        </w:rPr>
        <w:t xml:space="preserve">Day 5: Models + LangChain – SOP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LLM/LRM/LMM | Agentic Workflows – LangChain Essentials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S023, S024, S025, S026, S027</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S021, S022</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Reconciliation SOP excerpts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Prepare text chunks and embeddings candidate list; compare sampling choices.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Recon vector-data plan</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The deterministic matcher decides match status. ReconAI may investigate exceptions, link SOP evidence and draft non-authoritative narratives. Dispositions, adjustments, write-offs and ledger postings are made only by reconciliation analysts/reviewers, and every transition is audited.</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SOL-R05 | Day 05 / SOL-R05</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Day05_SourceLocked_5W1H_Architecture.pptx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Banking SOP → Tokenizer/Embeddings → LLM config</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Tokenization &amp; Embedding Techniques (Byte Pair Encoding)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Reasoning Tokens &amp; Inference Strategies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Max New Tokens, Sampling, Temperature, Top_K, Top_P</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LMMs: DALL-E, Imagen, Diffusion Models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Agentic Workflows – LangChain Essentials  | Introduction to LangChain Architecture</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ReconAI activity</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Tokenization &amp; Embedding Techniques (Byte Pair Encoding)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SOP representation</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Reasoning Tokens &amp; Inference Strategies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SOP representation</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S025</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Max New Tokens, Sampling, Temperature, Top_K, Top_P</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SOP representation</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S026, S027</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LMMs: DALL-E, Imagen, Diffusion Models</w:t>
            </w:r>
          </w:p>
          <w:p>
            <w:pPr>
              <w:spacing w:after="20"/>
            </w:pPr>
            <w:r>
              <w:rPr>
                <w:rFonts w:ascii="Arial" w:cs="Arial" w:eastAsia="Arial" w:hAnsi="Arial"/>
                <w:sz w:val="15"/>
                <w:szCs w:val="15"/>
              </w:rPr>
              <w:t xml:space="preserve">Agentic Workflows – LangChain Essentials | Introduction to LangChain Architecture</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Prepare text chunks and embeddings candidate list; compare sampling choices.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4, 5</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5" descr="Day 5 workflow for ReconAI" title="Day 5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S023</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Tokenise reconciliation SOP excerpts and list embedding model candidates.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Token counts set chunk size and cost; the embedding choice decides retrieval quality on Day 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Token counts + embedding candidates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S024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Decide where reasoning tokens are justified for exception explanation.</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Reasoning tokens add cost and latency, so they should be used only where accuracy improves.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Reasoning decision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S025</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Compare sampling choices (temperature, top_k, top_p, max tokens) for narratives.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Reconciliation narratives must be stable; variable wording undermines review and audit.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Sampling decision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S026, S027</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Prepare text-chunk plan for SOPs with metadata (exception_type, section).</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Metadata by exception type makes exception-to-SOP lookup possible and filterable.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Chunk plan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S026, S027</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Record that image-generation LMMs are out of scope and map ReconAI to LangChain components.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Recording what is out of scope keeps the design honest and the component map complete.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vector-data plan</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Tokenise reconciliation SOP excerpts and list embedding model candidates.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S023</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Count tokens per SOP section; list 2–3 embedding options.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Token counts set chunk size and cost; the embedding choice decides retrieval quality on Day 7.</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Token counts + embedding candidates</w:t>
      </w:r>
    </w:p>
    <w:p>
      <w:pPr>
        <w:spacing w:after="60" w:before="120"/>
      </w:pPr>
      <w:r>
        <w:rPr>
          <w:rFonts w:ascii="Arial" w:cs="Arial" w:eastAsia="Arial" w:hAnsi="Arial"/>
          <w:b/>
          <w:bCs/>
          <w:color w:val="17365D"/>
          <w:sz w:val="20"/>
          <w:szCs w:val="20"/>
        </w:rPr>
        <w:t xml:space="preserve">Step 2 – Decide where reasoning tokens are justified for exception explanation.</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S024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Run three complex exceptions with and without reasoning; record tokens, latency and correctness; allow reasoning only for multi-leg or timing exceptions.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Reasoning tokens add cost and latency, so they should be used only where accuracy improves.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Reasoning decision</w:t>
      </w:r>
    </w:p>
    <w:p>
      <w:pPr>
        <w:spacing w:after="60" w:before="120"/>
      </w:pPr>
      <w:r>
        <w:rPr>
          <w:rFonts w:ascii="Arial" w:cs="Arial" w:eastAsia="Arial" w:hAnsi="Arial"/>
          <w:b/>
          <w:bCs/>
          <w:color w:val="17365D"/>
          <w:sz w:val="20"/>
          <w:szCs w:val="20"/>
        </w:rPr>
        <w:t xml:space="preserve">Step 3 – Compare sampling choices (temperature, top_k, top_p, max tokens) for narratives.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S025</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Test temperature 0 / 0.3 / 0.7 with fixed max tokens; measure variation across 5 runs; select the lowest setting that keeps narratives readable.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Reconciliation narratives must be stable; variable wording undermines review and audit.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Sampling decision</w:t>
      </w:r>
    </w:p>
    <w:p>
      <w:pPr>
        <w:spacing w:after="60" w:before="120"/>
      </w:pPr>
      <w:r>
        <w:rPr>
          <w:rFonts w:ascii="Arial" w:cs="Arial" w:eastAsia="Arial" w:hAnsi="Arial"/>
          <w:b/>
          <w:bCs/>
          <w:color w:val="17365D"/>
          <w:sz w:val="20"/>
          <w:szCs w:val="20"/>
        </w:rPr>
        <w:t xml:space="preserve">Step 4 – Prepare text-chunk plan for SOPs with metadata (exception_type, section).</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S026, S027</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Choose chunk size and overlap from the token counts; attach metadata (sop_id, section, exception_type, version); check that no SOP rule is split across chunks.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Metadata by exception type makes exception-to-SOP lookup possible and filterable.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Chunk plan</w:t>
      </w:r>
    </w:p>
    <w:p>
      <w:pPr>
        <w:spacing w:after="60" w:before="120"/>
      </w:pPr>
      <w:r>
        <w:rPr>
          <w:rFonts w:ascii="Arial" w:cs="Arial" w:eastAsia="Arial" w:hAnsi="Arial"/>
          <w:b/>
          <w:bCs/>
          <w:color w:val="17365D"/>
          <w:sz w:val="20"/>
          <w:szCs w:val="20"/>
        </w:rPr>
        <w:t xml:space="preserve">Step 5 – Record that image-generation LMMs are out of scope and map ReconAI to LangChain components.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S026, S027</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State that image-generation LMMs are not used; map loader, splitter, embeddings, vector store, retriever, prompt and parser to LangChain components; combine into the vector-data plan.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Recording what is out of scope keeps the design honest and the component map complete.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Recon vector-data plan</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Reconciliation SOP excerpts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SOP tokens + embeddings → Reasoning need → Sampling choices → Chunk plan → LMM + LangChain map</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Recon vector-data plan</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Recon vector-data plan.</w:t>
      </w:r>
    </w:p>
    <w:p>
      <w:pPr>
        <w:pStyle w:val="ListParagraph"/>
        <w:numPr>
          <w:ilvl w:val="0"/>
          <w:numId w:val="2"/>
        </w:numPr>
        <w:spacing w:after="60"/>
      </w:pPr>
      <w:r>
        <w:rPr>
          <w:rFonts w:ascii="Arial" w:cs="Arial" w:eastAsia="Arial" w:hAnsi="Arial"/>
          <w:sz w:val="20"/>
          <w:szCs w:val="20"/>
        </w:rPr>
        <w:t xml:space="preserve">The vector-data plan names chunking, metadata and embedding choice.</w:t>
      </w:r>
    </w:p>
    <w:p>
      <w:pPr>
        <w:pStyle w:val="ListParagraph"/>
        <w:numPr>
          <w:ilvl w:val="0"/>
          <w:numId w:val="2"/>
        </w:numPr>
        <w:spacing w:after="60"/>
      </w:pPr>
      <w:r>
        <w:rPr>
          <w:rFonts w:ascii="Arial" w:cs="Arial" w:eastAsia="Arial" w:hAnsi="Arial"/>
          <w:sz w:val="20"/>
          <w:szCs w:val="20"/>
        </w:rPr>
        <w:t xml:space="preserve">Sampling settings are justified by evidence.</w:t>
      </w:r>
    </w:p>
    <w:p>
      <w:pPr>
        <w:pStyle w:val="ListParagraph"/>
        <w:numPr>
          <w:ilvl w:val="0"/>
          <w:numId w:val="2"/>
        </w:numPr>
        <w:spacing w:after="60"/>
      </w:pPr>
      <w:r>
        <w:rPr>
          <w:rFonts w:ascii="Arial" w:cs="Arial" w:eastAsia="Arial" w:hAnsi="Arial"/>
          <w:sz w:val="20"/>
          <w:szCs w:val="20"/>
        </w:rPr>
        <w:t xml:space="preserve">Every step traces to its hourly block and source IDs (S023, S024, S025, S026, S027);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Recon vector-data plan becomes an explicit input for Day 6 — ReconAI: reconciliation chain (Day 6 input: Validated ledger/settlement rows and SOPs).</w:t>
      </w:r>
    </w:p>
    <w:p>
      <w:pPr>
        <w:pStyle w:val="Heading2"/>
        <w:pageBreakBefore/>
      </w:pPr>
      <w:r>
        <w:rPr>
          <w:rFonts w:ascii="Arial" w:cs="Arial" w:eastAsia="Arial" w:hAnsi="Arial"/>
        </w:rPr>
        <w:t xml:space="preserve">Day 6: LangChain + RAG – reconciliation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Agentic Workflows – LangChain Essentials | Retrieval-Augmented Generation (RAG)</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S028, S029, S030, S031, S032, S033</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S027</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Validated ledger/settlement rows and SOPs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Design sequential ingest → match → explain chain; outline retrieval integration.</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Chain implementation brief</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The deterministic matcher decides match status. ReconAI may investigate exceptions, link SOP evidence and draft non-authoritative narratives. Dispositions, adjustments, write-offs and ledger postings are made only by reconciliation analysts/reviewers, and every transition is audited.</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SOL-R06 | Day 06 / SOL-R06</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Day06_SourceLocked_5W1H_Architecture.pptx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Request → LangChain chain → Mock tools → RAG retriever</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Model I/O &amp; Integration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Chains, Prompt Templates, Sequential Flows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Memory &amp; Context Handling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Tool/Agent Integration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Hands-on Workflow Creation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Retrieval-Augmented Generation (RAG)  | Introduction to RAG &amp; Its Importance</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ReconAI activity</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Model I/O &amp; Integration</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reconciliation chain</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S029, S030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Chains, Prompt Templates, Sequential Flows</w:t>
            </w:r>
          </w:p>
          <w:p>
            <w:pPr>
              <w:spacing w:after="20"/>
            </w:pPr>
            <w:r>
              <w:rPr>
                <w:rFonts w:ascii="Arial" w:cs="Arial" w:eastAsia="Arial" w:hAnsi="Arial"/>
                <w:sz w:val="15"/>
                <w:szCs w:val="15"/>
              </w:rPr>
              <w:t xml:space="preserve">Memory &amp; Context Handling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reconciliation chain</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Tool/Agent Integration</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reconciliation chain</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S032, S033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Hands-on Workflow Creation</w:t>
            </w:r>
          </w:p>
          <w:p>
            <w:pPr>
              <w:spacing w:after="20"/>
            </w:pPr>
            <w:r>
              <w:rPr>
                <w:rFonts w:ascii="Arial" w:cs="Arial" w:eastAsia="Arial" w:hAnsi="Arial"/>
                <w:sz w:val="15"/>
                <w:szCs w:val="15"/>
              </w:rPr>
              <w:t xml:space="preserve">Retrieval-Augmented Generation (RAG) | Introduction to RAG &amp; Its Importance</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Design sequential ingest → match → explain chain; outline retrieval integration.</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4, 5</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6" descr="Day 6 workflow for ReconAI" title="Day 6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S028</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model I/O for the explain step using the Day 4 contract.</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 typed explain step keeps chain output compatible with the Day 4 contract.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Explain-step I/O</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S029, S030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Design the sequential chain ingest → match → explain, with memory scoped to one exception batch.</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Separates deterministic and generative stages.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Chain design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S031</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Expose the deterministic matcher result as a tool the chain calls.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 model consumes match results; it never computes them.</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Matcher tool</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S032, S033</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Build and run the chain on validated ledger/settlement rows.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Running on the real Day 1 exceptions proves the chain works beyond hand-picked samples.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Chain run log</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S032, S033</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Outline how SOP retrieval integrates into the explain step.</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Defining the retrieval insertion point now keeps Day 7 work focused and testable.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Chain implementation brief</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Define model I/O for the explain step using the Day 4 contract.</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S028</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Bind the Day 4 recon JSON contract to a prompt template and output parser; unit-test with two known exceptions.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 typed explain step keeps chain output compatible with the Day 4 contract.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Explain-step I/O</w:t>
      </w:r>
    </w:p>
    <w:p>
      <w:pPr>
        <w:spacing w:after="60" w:before="120"/>
      </w:pPr>
      <w:r>
        <w:rPr>
          <w:rFonts w:ascii="Arial" w:cs="Arial" w:eastAsia="Arial" w:hAnsi="Arial"/>
          <w:b/>
          <w:bCs/>
          <w:color w:val="17365D"/>
          <w:sz w:val="20"/>
          <w:szCs w:val="20"/>
        </w:rPr>
        <w:t xml:space="preserve">Step 2 – Design the sequential chain ingest → match → explain, with memory scoped to one exception batch.</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S029, S030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Ingest and match are code; explain is the model; batch-scoped memory.</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Separates deterministic and generative stages.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Chain design</w:t>
      </w:r>
    </w:p>
    <w:p>
      <w:pPr>
        <w:spacing w:after="60" w:before="120"/>
      </w:pPr>
      <w:r>
        <w:rPr>
          <w:rFonts w:ascii="Arial" w:cs="Arial" w:eastAsia="Arial" w:hAnsi="Arial"/>
          <w:b/>
          <w:bCs/>
          <w:color w:val="17365D"/>
          <w:sz w:val="20"/>
          <w:szCs w:val="20"/>
        </w:rPr>
        <w:t xml:space="preserve">Step 3 – Expose the deterministic matcher result as a tool the chain calls.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S031</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Wrap the matcher as a typed tool returning reason code, both amounts, difference and dates; the chain may read it but never override it.</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The model consumes match results; it never computes them.</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Matcher tool</w:t>
      </w:r>
    </w:p>
    <w:p>
      <w:pPr>
        <w:spacing w:after="60" w:before="120"/>
      </w:pPr>
      <w:r>
        <w:rPr>
          <w:rFonts w:ascii="Arial" w:cs="Arial" w:eastAsia="Arial" w:hAnsi="Arial"/>
          <w:b/>
          <w:bCs/>
          <w:color w:val="17365D"/>
          <w:sz w:val="20"/>
          <w:szCs w:val="20"/>
        </w:rPr>
        <w:t xml:space="preserve">Step 4 – Build and run the chain on validated ledger/settlement rows.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S032, S033</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Run every exception from the Day 1 control-total run through the chain; log ingest, match and explain outputs separately; count schema failures.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Running on the real Day 1 exceptions proves the chain works beyond hand-picked samples.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Chain run log</w:t>
      </w:r>
    </w:p>
    <w:p>
      <w:pPr>
        <w:spacing w:after="60" w:before="120"/>
      </w:pPr>
      <w:r>
        <w:rPr>
          <w:rFonts w:ascii="Arial" w:cs="Arial" w:eastAsia="Arial" w:hAnsi="Arial"/>
          <w:b/>
          <w:bCs/>
          <w:color w:val="17365D"/>
          <w:sz w:val="20"/>
          <w:szCs w:val="20"/>
        </w:rPr>
        <w:t xml:space="preserve">Step 5 – Outline how SOP retrieval integrates into the explain step.</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S032, S033</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Mark the exact point in the explain step where SOP retrieval is called; define what is cited (sop_id, section) and how it appears in the narrative.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Defining the retrieval insertion point now keeps Day 7 work focused and testable.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Chain implementation brief</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Validated ledger/settlement rows and SOPs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Model I/O → Sequential chain → Matcher as tool → Hands-on build → Retrieval outline</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Chain implementation brief</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Chain implementation brief.</w:t>
      </w:r>
    </w:p>
    <w:p>
      <w:pPr>
        <w:pStyle w:val="ListParagraph"/>
        <w:numPr>
          <w:ilvl w:val="0"/>
          <w:numId w:val="2"/>
        </w:numPr>
        <w:spacing w:after="60"/>
      </w:pPr>
      <w:r>
        <w:rPr>
          <w:rFonts w:ascii="Arial" w:cs="Arial" w:eastAsia="Arial" w:hAnsi="Arial"/>
          <w:sz w:val="20"/>
          <w:szCs w:val="20"/>
        </w:rPr>
        <w:t xml:space="preserve">The matcher, not the model, sets match status.</w:t>
      </w:r>
    </w:p>
    <w:p>
      <w:pPr>
        <w:pStyle w:val="ListParagraph"/>
        <w:numPr>
          <w:ilvl w:val="0"/>
          <w:numId w:val="2"/>
        </w:numPr>
        <w:spacing w:after="60"/>
      </w:pPr>
      <w:r>
        <w:rPr>
          <w:rFonts w:ascii="Arial" w:cs="Arial" w:eastAsia="Arial" w:hAnsi="Arial"/>
          <w:sz w:val="20"/>
          <w:szCs w:val="20"/>
        </w:rPr>
        <w:t xml:space="preserve">The chain brief shows where retrieval plugs in.</w:t>
      </w:r>
    </w:p>
    <w:p>
      <w:pPr>
        <w:pStyle w:val="ListParagraph"/>
        <w:numPr>
          <w:ilvl w:val="0"/>
          <w:numId w:val="2"/>
        </w:numPr>
        <w:spacing w:after="60"/>
      </w:pPr>
      <w:r>
        <w:rPr>
          <w:rFonts w:ascii="Arial" w:cs="Arial" w:eastAsia="Arial" w:hAnsi="Arial"/>
          <w:sz w:val="20"/>
          <w:szCs w:val="20"/>
        </w:rPr>
        <w:t xml:space="preserve">Every step traces to its hourly block and source IDs (S028, S029, S030, S031, S032, S033);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Chain implementation brief becomes an explicit input for Day 7 — ReconAI: SOP retrieval assignment (Day 7 input: Recon exception catalog and SOPs).</w:t>
      </w:r>
    </w:p>
    <w:p>
      <w:pPr>
        <w:pStyle w:val="Heading2"/>
        <w:pageBreakBefore/>
      </w:pPr>
      <w:r>
        <w:rPr>
          <w:rFonts w:ascii="Arial" w:cs="Arial" w:eastAsia="Arial" w:hAnsi="Arial"/>
        </w:rPr>
        <w:t xml:space="preserve">Day 7: RAG indexing – SOP retrieval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Retrieval-Augmented Generation (RAG)</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S034, S035, S036, S037, S038, S039</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S033</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Recon exception catalog and SOPs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Implement chunking, index build and exception-to-policy lookup.</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Recon evidence-backed retrieval examples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The deterministic matcher decides match status. ReconAI may investigate exceptions, link SOP evidence and draft non-authoritative narratives. Dispositions, adjustments, write-offs and ledger postings are made only by reconciliation analysts/reviewers, and every transition is audited.</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SOL-R07 | Day 07 / SOL-R07</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Day07_SourceLocked_5W1H_Architecture.pptx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Documents → Chunking → Vector store → Retrieval → Citations</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Vector Databases for RAG (FAISS, Chroma)</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Chunking Strategies in RAG Applications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Semantic Search vs. Exact Matching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RAG for Domain-Specific Applications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Optimizing RAG for Large-Scale AI Models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Real-Time Information Retrieval Using RAG</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ReconAI activity</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Vector Databases for RAG (FAISS, Chroma)</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SOP retrieval assignment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S035, S036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Chunking Strategies in RAG Applications</w:t>
            </w:r>
          </w:p>
          <w:p>
            <w:pPr>
              <w:spacing w:after="20"/>
            </w:pPr>
            <w:r>
              <w:rPr>
                <w:rFonts w:ascii="Arial" w:cs="Arial" w:eastAsia="Arial" w:hAnsi="Arial"/>
                <w:sz w:val="15"/>
                <w:szCs w:val="15"/>
              </w:rPr>
              <w:t xml:space="preserve">Semantic Search vs. Exact Matching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SOP retrieval assignment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S037</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RAG for Domain-Specific Applications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SOP retrieval assignment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S038, S039</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Optimizing RAG for Large-Scale AI Models</w:t>
            </w:r>
          </w:p>
          <w:p>
            <w:pPr>
              <w:spacing w:after="20"/>
            </w:pPr>
            <w:r>
              <w:rPr>
                <w:rFonts w:ascii="Arial" w:cs="Arial" w:eastAsia="Arial" w:hAnsi="Arial"/>
                <w:sz w:val="15"/>
                <w:szCs w:val="15"/>
              </w:rPr>
              <w:t xml:space="preserve">Real-Time Information Retrieval Using RAG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Implement chunking, index build and exception-to-policy lookup.</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7" descr="Day 7 workflow for ReconAI" title="Day 7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S034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Select FAISS or Chroma for SOP retrieval.</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Store features affect filtering by exception type.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Store decision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S035, S036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Chunk SOPs and the exception catalogue; compare semantic and exact match on SOP codes.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Codes need exact match; descriptions need semantic.</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Chunks + match comparison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S037</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Build the domain-specific index with metadata.</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Metadata enables filtered, cited look-ups that reviewers can verify.</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SOP index</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S038, S039</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Implement exception-to-policy lookup and note scale and freshness handling.</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Every exception should link to the governing SOP.</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evidence-backed retrieval examples</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Select FAISS or Chroma for SOP retrieval.</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S034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Compare FAISS and Chroma on metadata filtering by exception_type, persistence and local setup; record the choice and reason in the decision log.</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Store features affect filtering by exception type.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Store decision</w:t>
      </w:r>
    </w:p>
    <w:p>
      <w:pPr>
        <w:spacing w:after="60" w:before="120"/>
      </w:pPr>
      <w:r>
        <w:rPr>
          <w:rFonts w:ascii="Arial" w:cs="Arial" w:eastAsia="Arial" w:hAnsi="Arial"/>
          <w:b/>
          <w:bCs/>
          <w:color w:val="17365D"/>
          <w:sz w:val="20"/>
          <w:szCs w:val="20"/>
        </w:rPr>
        <w:t xml:space="preserve">Step 2 – Chunk SOPs and the exception catalogue; compare semantic and exact match on SOP codes.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S035, S036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Chunk SOPs and the exception catalogue using the Day 5 plan; run 10 queries by semantic search and by exact SOP code; record hits and set a routing rule (code → exact, text → semantic).</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Codes need exact match; descriptions need semantic.</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Chunks + match comparison</w:t>
      </w:r>
    </w:p>
    <w:p>
      <w:pPr>
        <w:spacing w:after="60" w:before="120"/>
      </w:pPr>
      <w:r>
        <w:rPr>
          <w:rFonts w:ascii="Arial" w:cs="Arial" w:eastAsia="Arial" w:hAnsi="Arial"/>
          <w:b/>
          <w:bCs/>
          <w:color w:val="17365D"/>
          <w:sz w:val="20"/>
          <w:szCs w:val="20"/>
        </w:rPr>
        <w:t xml:space="preserve">Step 3 – Build the domain-specific index with metadata.</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S037</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Embed chunks and index them with sop_id, section, exception_type and version; test metadata filtering by exception_type on 5 queries.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Metadata enables filtered, cited look-ups that reviewers can verify.</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Recon SOP index</w:t>
      </w:r>
    </w:p>
    <w:p>
      <w:pPr>
        <w:spacing w:after="60" w:before="120"/>
      </w:pPr>
      <w:r>
        <w:rPr>
          <w:rFonts w:ascii="Arial" w:cs="Arial" w:eastAsia="Arial" w:hAnsi="Arial"/>
          <w:b/>
          <w:bCs/>
          <w:color w:val="17365D"/>
          <w:sz w:val="20"/>
          <w:szCs w:val="20"/>
        </w:rPr>
        <w:t xml:space="preserve">Step 4 – Implement exception-to-policy lookup and note scale and freshness handling.</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S038, S039</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For each exception type, retrieve top SOP chunk with citation; note re-index on SOP update.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Every exception should link to the governing SOP.</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Recon evidence-backed retrieval examples</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Recon exception catalog and SOPs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Store choice → Chunk SOPs → Index build → Exception → policy lookup</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Recon evidence-backed retrieval examples</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Recon evidence-backed retrieval examples.</w:t>
      </w:r>
    </w:p>
    <w:p>
      <w:pPr>
        <w:pStyle w:val="ListParagraph"/>
        <w:numPr>
          <w:ilvl w:val="0"/>
          <w:numId w:val="2"/>
        </w:numPr>
        <w:spacing w:after="60"/>
      </w:pPr>
      <w:r>
        <w:rPr>
          <w:rFonts w:ascii="Arial" w:cs="Arial" w:eastAsia="Arial" w:hAnsi="Arial"/>
          <w:sz w:val="20"/>
          <w:szCs w:val="20"/>
        </w:rPr>
        <w:t xml:space="preserve">Each exception type returns a cited SOP section.</w:t>
      </w:r>
    </w:p>
    <w:p>
      <w:pPr>
        <w:pStyle w:val="ListParagraph"/>
        <w:numPr>
          <w:ilvl w:val="0"/>
          <w:numId w:val="2"/>
        </w:numPr>
        <w:spacing w:after="60"/>
      </w:pPr>
      <w:r>
        <w:rPr>
          <w:rFonts w:ascii="Arial" w:cs="Arial" w:eastAsia="Arial" w:hAnsi="Arial"/>
          <w:sz w:val="20"/>
          <w:szCs w:val="20"/>
        </w:rPr>
        <w:t xml:space="preserve">Exact-code queries return the exact SOP.</w:t>
      </w:r>
    </w:p>
    <w:p>
      <w:pPr>
        <w:pStyle w:val="ListParagraph"/>
        <w:numPr>
          <w:ilvl w:val="0"/>
          <w:numId w:val="2"/>
        </w:numPr>
        <w:spacing w:after="60"/>
      </w:pPr>
      <w:r>
        <w:rPr>
          <w:rFonts w:ascii="Arial" w:cs="Arial" w:eastAsia="Arial" w:hAnsi="Arial"/>
          <w:sz w:val="20"/>
          <w:szCs w:val="20"/>
        </w:rPr>
        <w:t xml:space="preserve">Every step traces to its hourly block and source IDs (S034, S035, S036, S037, S038, S039);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Recon evidence-backed retrieval examples becomes an explicit input for Day 8 — ReconAI: improve retrieval relevance (Day 8 input: Day7 exception-to-SOP results and expected links).</w:t>
      </w:r>
    </w:p>
    <w:p>
      <w:pPr>
        <w:pStyle w:val="Heading2"/>
        <w:pageBreakBefore/>
      </w:pPr>
      <w:r>
        <w:rPr>
          <w:rFonts w:ascii="Arial" w:cs="Arial" w:eastAsia="Arial" w:hAnsi="Arial"/>
        </w:rPr>
        <w:t xml:space="preserve">Day 8: RAG advanced – improve retrieval relevance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Retrieval-Augmented Generation (RAG)</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S040, S041, S042, S043, S044, S045</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S034, S035, S036, S037, S038, S039</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Day7 exception-to-SOP results and expected links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Test alternate queries, failure cases and rubric; report precision/recall.</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Recon retrieval evaluation pack</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The deterministic matcher decides match status. ReconAI may investigate exceptions, link SOP evidence and draft non-authoritative narratives. Dispositions, adjustments, write-offs and ledger postings are made only by reconciliation analysts/reviewers, and every transition is audited.</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SOL-R08 | Day 08 / SOL-R08</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Day08_SourceLocked_5W1H_Architecture.pptx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Hybrid retrieval → Evidence selection → Faithfulness test</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Challenges in RAG Implementation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Hybrid Search &amp; Multi-Query RAG Systems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Multi-modal RAG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Agentic RAG: using an agent to determine how to retrieve the most relevant information before answering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*RAG Evaluation (faithfulness, retrieval precision/recall)*</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Guidelines and Best Practices</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ReconAI activity</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Challenges in RAG Implementation</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improve retrieval relevance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S041, S042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Hybrid Search &amp; Multi-Query RAG Systems</w:t>
            </w:r>
          </w:p>
          <w:p>
            <w:pPr>
              <w:spacing w:after="20"/>
            </w:pPr>
            <w:r>
              <w:rPr>
                <w:rFonts w:ascii="Arial" w:cs="Arial" w:eastAsia="Arial" w:hAnsi="Arial"/>
                <w:sz w:val="15"/>
                <w:szCs w:val="15"/>
              </w:rPr>
              <w:t xml:space="preserve">Multi-modal RAG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improve retrieval relevance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Agentic RAG: using an agent to determine how to retrieve the most relevant information before answering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improve retrieval relevance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S044, S045</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*RAG Evaluation (faithfulness, retrieval precision/recall)*</w:t>
            </w:r>
          </w:p>
          <w:p>
            <w:pPr>
              <w:spacing w:after="20"/>
            </w:pPr>
            <w:r>
              <w:rPr>
                <w:rFonts w:ascii="Arial" w:cs="Arial" w:eastAsia="Arial" w:hAnsi="Arial"/>
                <w:sz w:val="15"/>
                <w:szCs w:val="15"/>
              </w:rPr>
              <w:t xml:space="preserve">Guidelines and Best Practices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Test alternate queries, failure cases and rubric; report precision/recall.</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8" descr="Day 8 workflow for ReconAI" title="Day 8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S040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Create the expected exception-to-SOP links and a failure taxonomy.</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Precision and recall can only be measured against agreed ground-truth links.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Expected-link set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S041, S042</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Test hybrid and multi-query alternatives; note multimodal needs.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Analysts phrase exceptions differently; alternate queries improve recall.</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Alternate-query results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S043</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Test whether an agent choosing the source improves relevance.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Some exceptions are best explained by the exception catalogue, others by the SOP.</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Agentic retrieval result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S044, S045</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Apply rubric; report precision, recall and faithfulness; record best practices.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 rubric and metrics turn 'looks better' into measurable improvement.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retrieval evaluation pack</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Create the expected exception-to-SOP links and a failure taxonomy.</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S040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For every test exception record the one expected SOP section; classify Day 7 misses (wrong SOP, missing SOP, partial rule, stale version).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Precision and recall can only be measured against agreed ground-truth links.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Expected-link set</w:t>
      </w:r>
    </w:p>
    <w:p>
      <w:pPr>
        <w:spacing w:after="60" w:before="120"/>
      </w:pPr>
      <w:r>
        <w:rPr>
          <w:rFonts w:ascii="Arial" w:cs="Arial" w:eastAsia="Arial" w:hAnsi="Arial"/>
          <w:b/>
          <w:bCs/>
          <w:color w:val="17365D"/>
          <w:sz w:val="20"/>
          <w:szCs w:val="20"/>
        </w:rPr>
        <w:t xml:space="preserve">Step 2 – Test hybrid and multi-query alternatives; note multimodal needs.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S041, S042</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Add keyword + vector hybrid search and 3 query rewrites per exception; compare hit rate against the Day 7 baseline on the same expected-link set; note any evidence needing multimodal handling.</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Analysts phrase exceptions differently; alternate queries improve recall.</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Alternate-query results</w:t>
      </w:r>
    </w:p>
    <w:p>
      <w:pPr>
        <w:spacing w:after="60" w:before="120"/>
      </w:pPr>
      <w:r>
        <w:rPr>
          <w:rFonts w:ascii="Arial" w:cs="Arial" w:eastAsia="Arial" w:hAnsi="Arial"/>
          <w:b/>
          <w:bCs/>
          <w:color w:val="17365D"/>
          <w:sz w:val="20"/>
          <w:szCs w:val="20"/>
        </w:rPr>
        <w:t xml:space="preserve">Step 3 – Test whether an agent choosing the source improves relevance.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S043</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Let an agent choose between the exception catalogue and the SOP index before retrieving; log every routing decision and compare relevance with the non-agentic retriever.</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Some exceptions are best explained by the exception catalogue, others by the SOP.</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Agentic retrieval result</w:t>
      </w:r>
    </w:p>
    <w:p>
      <w:pPr>
        <w:spacing w:after="60" w:before="120"/>
      </w:pPr>
      <w:r>
        <w:rPr>
          <w:rFonts w:ascii="Arial" w:cs="Arial" w:eastAsia="Arial" w:hAnsi="Arial"/>
          <w:b/>
          <w:bCs/>
          <w:color w:val="17365D"/>
          <w:sz w:val="20"/>
          <w:szCs w:val="20"/>
        </w:rPr>
        <w:t xml:space="preserve">Step 4 – Apply rubric; report precision, recall and faithfulness; record best practices.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S044, S045</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Score each variant with the rubric; report precision@3, recall and faithfulness in one table; list remaining failure cases and the best-practice rules adopted.</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 rubric and metrics turn 'looks better' into measurable improvement.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Recon retrieval evaluation pack</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Day7 exception-to-SOP results and expected links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Expected links → Alternate queries → Agentic retrieval → Rubric + metrics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Recon retrieval evaluation pack</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Recon retrieval evaluation pack.</w:t>
      </w:r>
    </w:p>
    <w:p>
      <w:pPr>
        <w:pStyle w:val="ListParagraph"/>
        <w:numPr>
          <w:ilvl w:val="0"/>
          <w:numId w:val="2"/>
        </w:numPr>
        <w:spacing w:after="60"/>
      </w:pPr>
      <w:r>
        <w:rPr>
          <w:rFonts w:ascii="Arial" w:cs="Arial" w:eastAsia="Arial" w:hAnsi="Arial"/>
          <w:sz w:val="20"/>
          <w:szCs w:val="20"/>
        </w:rPr>
        <w:t xml:space="preserve">Precision and recall are reported for each variant.</w:t>
      </w:r>
    </w:p>
    <w:p>
      <w:pPr>
        <w:pStyle w:val="ListParagraph"/>
        <w:numPr>
          <w:ilvl w:val="0"/>
          <w:numId w:val="2"/>
        </w:numPr>
        <w:spacing w:after="60"/>
      </w:pPr>
      <w:r>
        <w:rPr>
          <w:rFonts w:ascii="Arial" w:cs="Arial" w:eastAsia="Arial" w:hAnsi="Arial"/>
          <w:sz w:val="20"/>
          <w:szCs w:val="20"/>
        </w:rPr>
        <w:t xml:space="preserve">Failure cases are listed, not hidden.</w:t>
      </w:r>
    </w:p>
    <w:p>
      <w:pPr>
        <w:pStyle w:val="ListParagraph"/>
        <w:numPr>
          <w:ilvl w:val="0"/>
          <w:numId w:val="2"/>
        </w:numPr>
        <w:spacing w:after="60"/>
      </w:pPr>
      <w:r>
        <w:rPr>
          <w:rFonts w:ascii="Arial" w:cs="Arial" w:eastAsia="Arial" w:hAnsi="Arial"/>
          <w:sz w:val="20"/>
          <w:szCs w:val="20"/>
        </w:rPr>
        <w:t xml:space="preserve">Every step traces to its hourly block and source IDs (S040, S041, S042, S043, S044, S045);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Recon retrieval evaluation pack becomes an explicit input for Day 9 — ReconAI: exception analyst role (Day 9 input: Reconciliation rules and mismatch samples).</w:t>
      </w:r>
    </w:p>
    <w:p>
      <w:pPr>
        <w:pStyle w:val="Heading2"/>
        <w:pageBreakBefore/>
      </w:pPr>
      <w:r>
        <w:rPr>
          <w:rFonts w:ascii="Arial" w:cs="Arial" w:eastAsia="Arial" w:hAnsi="Arial"/>
        </w:rPr>
        <w:t xml:space="preserve">Day 9: Agent foundations – exception analyst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Demystifying Agentic AI</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S046, S047, S048, S049, S050, S051</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S044, S045</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Reconciliation rules and mismatch samples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Specify autonomous versus deterministic responsibilities.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Agent role and action policy</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The deterministic matcher decides match status. ReconAI may investigate exceptions, link SOP evidence and draft non-authoritative narratives. Dispositions, adjustments, write-offs and ledger postings are made only by reconciliation analysts/reviewers, and every transition is audited.</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SOL-R09 | Day 09 / SOL-R09</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Day09_SourceLocked_5W1H_Architecture.pptx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Case intake → Suitability decision → Read-only agent</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Demystifying Agentic AI  | Understanding Agentic vs. Non-Agentic AI Systems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Overview of Autonomous Agents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Agents vs. Models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What is an LLM Agent — Role of LLMs in Autonomous Systems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When (and When Not) to Use Agents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Questions to Ask Before Considering an AI Agent</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ReconAI activity</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Demystifying Agentic AI | Understanding Agentic vs. Non-Agentic AI Systems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exception analyst role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S047, S048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Overview of Autonomous Agents</w:t>
            </w:r>
          </w:p>
          <w:p>
            <w:pPr>
              <w:spacing w:after="20"/>
            </w:pPr>
            <w:r>
              <w:rPr>
                <w:rFonts w:ascii="Arial" w:cs="Arial" w:eastAsia="Arial" w:hAnsi="Arial"/>
                <w:sz w:val="15"/>
                <w:szCs w:val="15"/>
              </w:rPr>
              <w:t xml:space="preserve">Agents vs. Models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exception analyst role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S049</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What is an LLM Agent — Role of LLMs in Autonomous Systems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exception analyst role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S050, S051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When (and When Not) to Use Agents</w:t>
            </w:r>
          </w:p>
          <w:p>
            <w:pPr>
              <w:spacing w:after="20"/>
            </w:pPr>
            <w:r>
              <w:rPr>
                <w:rFonts w:ascii="Arial" w:cs="Arial" w:eastAsia="Arial" w:hAnsi="Arial"/>
                <w:sz w:val="15"/>
                <w:szCs w:val="15"/>
              </w:rPr>
              <w:t xml:space="preserve">Questions to Ask Before Considering an AI Agent</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Specify autonomous versus deterministic responsibilities.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9" descr="Day 9 workflow for ReconAI" title="Day 9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S046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Compare agentic and non-agentic designs for exception handling.</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Reconciliation is a financial control; autonomy is acceptable only where it cannot change outcomes.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Design comparison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S047, S048</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Identify agent components versus model for the exception analyst.</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Knowing which component is the model and which is the agent defines what each test targets.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Component list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S049</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the LLM role in the analyst agent.</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Keeps match status and dispositions with deterministic code and human reviewers.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LLM role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S050, S051</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Specify autonomous vs deterministic responsibilities and the action policy using the pre-agent checklist.</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An explicit action policy prevents the agent from changing ledger or exception state.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 role and action policy</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Compare agentic and non-agentic designs for exception handling.</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S046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Draw exception handling as a fixed workflow and as an agent loop; mark every decision point and tool call; note which decisions carry financial-control risk.</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Reconciliation is a financial control; autonomy is acceptable only where it cannot change outcomes.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Design comparison</w:t>
      </w:r>
    </w:p>
    <w:p>
      <w:pPr>
        <w:spacing w:after="60" w:before="120"/>
      </w:pPr>
      <w:r>
        <w:rPr>
          <w:rFonts w:ascii="Arial" w:cs="Arial" w:eastAsia="Arial" w:hAnsi="Arial"/>
          <w:b/>
          <w:bCs/>
          <w:color w:val="17365D"/>
          <w:sz w:val="20"/>
          <w:szCs w:val="20"/>
        </w:rPr>
        <w:t xml:space="preserve">Step 2 – Identify agent components versus model for the exception analyst.</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S047, S048</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Label the loop, tools, memory and model on the exception-analyst flow; state which component each test will target.</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Knowing which component is the model and which is the agent defines what each test targets.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Component list</w:t>
      </w:r>
    </w:p>
    <w:p>
      <w:pPr>
        <w:spacing w:after="60" w:before="120"/>
      </w:pPr>
      <w:r>
        <w:rPr>
          <w:rFonts w:ascii="Arial" w:cs="Arial" w:eastAsia="Arial" w:hAnsi="Arial"/>
          <w:b/>
          <w:bCs/>
          <w:color w:val="17365D"/>
          <w:sz w:val="20"/>
          <w:szCs w:val="20"/>
        </w:rPr>
        <w:t xml:space="preserve">Step 3 – Define the LLM role in the analyst agent.</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S049</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State that the LLM gathers evidence and drafts narratives; it never sets match status, disposition or adjustments.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Keeps match status and dispositions with deterministic code and human reviewers.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LLM role</w:t>
      </w:r>
    </w:p>
    <w:p>
      <w:pPr>
        <w:spacing w:after="60" w:before="120"/>
      </w:pPr>
      <w:r>
        <w:rPr>
          <w:rFonts w:ascii="Arial" w:cs="Arial" w:eastAsia="Arial" w:hAnsi="Arial"/>
          <w:b/>
          <w:bCs/>
          <w:color w:val="17365D"/>
          <w:sz w:val="20"/>
          <w:szCs w:val="20"/>
        </w:rPr>
        <w:t xml:space="preserve">Step 4 – Specify autonomous vs deterministic responsibilities and the action policy using the pre-agent checklist.</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S050, S051</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Answer the pre-agent question checklist; fill the action policy: allowed (read matcher, read SOP, draft narrative) and denied (mark matched, post adjustment, close exception).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An explicit action policy prevents the agent from changing ledger or exception state.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Agent role and action policy</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Reconciliation rules and mismatch samples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Agentic vs deterministic → Agent vs model → LLM role → Responsibilities + policy</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Agent role and action policy</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Agent role and action policy.</w:t>
      </w:r>
    </w:p>
    <w:p>
      <w:pPr>
        <w:pStyle w:val="ListParagraph"/>
        <w:numPr>
          <w:ilvl w:val="0"/>
          <w:numId w:val="2"/>
        </w:numPr>
        <w:spacing w:after="60"/>
      </w:pPr>
      <w:r>
        <w:rPr>
          <w:rFonts w:ascii="Arial" w:cs="Arial" w:eastAsia="Arial" w:hAnsi="Arial"/>
          <w:sz w:val="20"/>
          <w:szCs w:val="20"/>
        </w:rPr>
        <w:t xml:space="preserve">The action policy denies every write action.</w:t>
      </w:r>
    </w:p>
    <w:p>
      <w:pPr>
        <w:pStyle w:val="ListParagraph"/>
        <w:numPr>
          <w:ilvl w:val="0"/>
          <w:numId w:val="2"/>
        </w:numPr>
        <w:spacing w:after="60"/>
      </w:pPr>
      <w:r>
        <w:rPr>
          <w:rFonts w:ascii="Arial" w:cs="Arial" w:eastAsia="Arial" w:hAnsi="Arial"/>
          <w:sz w:val="20"/>
          <w:szCs w:val="20"/>
        </w:rPr>
        <w:t xml:space="preserve">Checklist answers justify the agent's scope.</w:t>
      </w:r>
    </w:p>
    <w:p>
      <w:pPr>
        <w:pStyle w:val="ListParagraph"/>
        <w:numPr>
          <w:ilvl w:val="0"/>
          <w:numId w:val="2"/>
        </w:numPr>
        <w:spacing w:after="60"/>
      </w:pPr>
      <w:r>
        <w:rPr>
          <w:rFonts w:ascii="Arial" w:cs="Arial" w:eastAsia="Arial" w:hAnsi="Arial"/>
          <w:sz w:val="20"/>
          <w:szCs w:val="20"/>
        </w:rPr>
        <w:t xml:space="preserve">Every step traces to its hourly block and source IDs (S046, S047, S048, S049, S050, S051);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Agent role and action policy becomes an explicit input for Day 10 — ReconAI: deterministic matcher plus agent (Day 10 input: Ledger, SOP retrieval and tool contracts).</w:t>
      </w:r>
    </w:p>
    <w:p>
      <w:pPr>
        <w:pStyle w:val="Heading2"/>
        <w:pageBreakBefore/>
      </w:pPr>
      <w:r>
        <w:rPr>
          <w:rFonts w:ascii="Arial" w:cs="Arial" w:eastAsia="Arial" w:hAnsi="Arial"/>
        </w:rPr>
        <w:t xml:space="preserve">Day 10: Agent runtime – deterministic matcher plus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Demystifying Agentic AI | Context, Harness &amp; Loop Engineering</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S052, S053, S054, S055, S056, S057, S058</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S046, S047, S048, S049, S050, S051</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Ledger, SOP retrieval and tool contracts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Combine matcher result with agent evidence lookup; constrain tool scopes.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Controlled exception investigation trace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The deterministic matcher decides match status. ReconAI may investigate exceptions, link SOP evidence and draft non-authoritative narratives. Dispositions, adjustments, write-offs and ledger postings are made only by reconciliation analysts/reviewers, and every transition is audited.</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SOL-R10 | Day 10 / SOL-R10</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Day10_SourceLocked_5W1H_Architecture.pptx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Perceive → Plan → Allowed tool → Observe → Stop</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ReAct Framework — Concept of Thought, Action, Input and Observation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Language-Action Agents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Agent Runtime — Orchestration Layer</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Tools — Function Calling / Extensions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Context, Harness &amp; Loop Engineering  | *Context Engineering vs Prompt Engineering — what's the difference*</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*Context Window Management (system/developer/user context layering)*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*Long-context Windows vs RAG — when to use which*</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ReconAI activity</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ReAct Framework — Concept of Thought, Action, Input and Observation</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deterministic matcher plus agent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S053, S054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Language-Action Agents</w:t>
            </w:r>
          </w:p>
          <w:p>
            <w:pPr>
              <w:spacing w:after="20"/>
            </w:pPr>
            <w:r>
              <w:rPr>
                <w:rFonts w:ascii="Arial" w:cs="Arial" w:eastAsia="Arial" w:hAnsi="Arial"/>
                <w:sz w:val="15"/>
                <w:szCs w:val="15"/>
              </w:rPr>
              <w:t xml:space="preserve">Agent Runtime — Orchestration Layer</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deterministic matcher plus agent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S055, S056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Tools — Function Calling / Extensions</w:t>
            </w:r>
          </w:p>
          <w:p>
            <w:pPr>
              <w:spacing w:after="20"/>
            </w:pPr>
            <w:r>
              <w:rPr>
                <w:rFonts w:ascii="Arial" w:cs="Arial" w:eastAsia="Arial" w:hAnsi="Arial"/>
                <w:sz w:val="15"/>
                <w:szCs w:val="15"/>
              </w:rPr>
              <w:t xml:space="preserve">Context, Harness &amp; Loop Engineering | *Context Engineering vs Prompt Engineering — what's the difference*</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deterministic matcher plus agent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S057, S058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*Context Window Management (system/developer/user context layering)*</w:t>
            </w:r>
          </w:p>
          <w:p>
            <w:pPr>
              <w:spacing w:after="20"/>
            </w:pPr>
            <w:r>
              <w:rPr>
                <w:rFonts w:ascii="Arial" w:cs="Arial" w:eastAsia="Arial" w:hAnsi="Arial"/>
                <w:sz w:val="15"/>
                <w:szCs w:val="15"/>
              </w:rPr>
              <w:t xml:space="preserve">*Long-context Windows vs RAG — when to use which*</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Combine matcher result with agent evidence lookup; constrain tool scopes.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0" descr="Day 10 workflow for ReconAI" title="Day 10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S052</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Design the ReAct loop for exception investigation.</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Thought/action/observation turns make every evidence-gathering step traceable.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Loop design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S053, S054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Implement the runtime dispatching allowed tools.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Scope is enforced by code in the runtime, not by instructions to the model.</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Runtime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S055, S056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function-calling contracts for matcher and SOP tools; contrast context vs prompt engineering.</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Typed tool contracts stop malformed or out-of-scope calls to the matcher and SOP search.</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Tool contracts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S057, S058</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Apply context layering, choose long-context vs RAG, bound steps, and combine matcher result with agent evidence lookup.</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Layered context and a step limit keep each investigation focused, cheap and bounded.</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Controlled exception investigation trace</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Design the ReAct loop for exception investigation.</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S052</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Define Thought / Action / Action Input / Observation for 'investigate exception'; list allowed actions and the stop condition.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Thought/action/observation turns make every evidence-gathering step traceable.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Loop design</w:t>
      </w:r>
    </w:p>
    <w:p>
      <w:pPr>
        <w:spacing w:after="60" w:before="120"/>
      </w:pPr>
      <w:r>
        <w:rPr>
          <w:rFonts w:ascii="Arial" w:cs="Arial" w:eastAsia="Arial" w:hAnsi="Arial"/>
          <w:b/>
          <w:bCs/>
          <w:color w:val="17365D"/>
          <w:sz w:val="20"/>
          <w:szCs w:val="20"/>
        </w:rPr>
        <w:t xml:space="preserve">Step 2 – Implement the runtime dispatching allowed tools.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S053, S054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Implement a dispatcher that executes only allow-listed tools, enforces timeouts and converts errors into observations.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Scope is enforced by code in the runtime, not by instructions to the model.</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Runtime</w:t>
      </w:r>
    </w:p>
    <w:p>
      <w:pPr>
        <w:spacing w:after="60" w:before="120"/>
      </w:pPr>
      <w:r>
        <w:rPr>
          <w:rFonts w:ascii="Arial" w:cs="Arial" w:eastAsia="Arial" w:hAnsi="Arial"/>
          <w:b/>
          <w:bCs/>
          <w:color w:val="17365D"/>
          <w:sz w:val="20"/>
          <w:szCs w:val="20"/>
        </w:rPr>
        <w:t xml:space="preserve">Step 3 – Define function-calling contracts for matcher and SOP tools; contrast context vs prompt engineering.</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S055, S056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Write a JSON schema for get_match_result and search_sop; reject invalid arguments; list which context items enter each turn.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Typed tool contracts stop malformed or out-of-scope calls to the matcher and SOP search.</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Tool contracts</w:t>
      </w:r>
    </w:p>
    <w:p>
      <w:pPr>
        <w:spacing w:after="60" w:before="120"/>
      </w:pPr>
      <w:r>
        <w:rPr>
          <w:rFonts w:ascii="Arial" w:cs="Arial" w:eastAsia="Arial" w:hAnsi="Arial"/>
          <w:b/>
          <w:bCs/>
          <w:color w:val="17365D"/>
          <w:sz w:val="20"/>
          <w:szCs w:val="20"/>
        </w:rPr>
        <w:t xml:space="preserve">Step 4 – Apply context layering, choose long-context vs RAG, bound steps, and combine matcher result with agent evidence lookup.</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S057, S058</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Layer system → developer → exception evidence → tool results; use RAG for SOPs rather than full-document context; set max_steps=5; save one trace per exception.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Layered context and a step limit keep each investigation focused, cheap and bounded.</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Controlled exception investigation trace</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Ledger, SOP retrieval and tool contracts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ReAct design → Runtime → Tool contracts → Context + bounded trace</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Controlled exception investigation trace</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Controlled exception investigation trace.</w:t>
      </w:r>
    </w:p>
    <w:p>
      <w:pPr>
        <w:pStyle w:val="ListParagraph"/>
        <w:numPr>
          <w:ilvl w:val="0"/>
          <w:numId w:val="2"/>
        </w:numPr>
        <w:spacing w:after="60"/>
      </w:pPr>
      <w:r>
        <w:rPr>
          <w:rFonts w:ascii="Arial" w:cs="Arial" w:eastAsia="Arial" w:hAnsi="Arial"/>
          <w:sz w:val="20"/>
          <w:szCs w:val="20"/>
        </w:rPr>
        <w:t xml:space="preserve">Traces show only allow-listed tools.</w:t>
      </w:r>
    </w:p>
    <w:p>
      <w:pPr>
        <w:pStyle w:val="ListParagraph"/>
        <w:numPr>
          <w:ilvl w:val="0"/>
          <w:numId w:val="2"/>
        </w:numPr>
        <w:spacing w:after="60"/>
      </w:pPr>
      <w:r>
        <w:rPr>
          <w:rFonts w:ascii="Arial" w:cs="Arial" w:eastAsia="Arial" w:hAnsi="Arial"/>
          <w:sz w:val="20"/>
          <w:szCs w:val="20"/>
        </w:rPr>
        <w:t xml:space="preserve">Investigations stop within the step limit.</w:t>
      </w:r>
    </w:p>
    <w:p>
      <w:pPr>
        <w:pStyle w:val="ListParagraph"/>
        <w:numPr>
          <w:ilvl w:val="0"/>
          <w:numId w:val="2"/>
        </w:numPr>
        <w:spacing w:after="60"/>
      </w:pPr>
      <w:r>
        <w:rPr>
          <w:rFonts w:ascii="Arial" w:cs="Arial" w:eastAsia="Arial" w:hAnsi="Arial"/>
          <w:sz w:val="20"/>
          <w:szCs w:val="20"/>
        </w:rPr>
        <w:t xml:space="preserve">Every step traces to its hourly block and source IDs (S052, S053, S054, S055, S056, S057, S058);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Controlled exception investigation trace becomes an explicit input for Day 11 — ReconAI: reviewer-controlled disposition (Day 11 input: Agent investigation and exception record).</w:t>
      </w:r>
    </w:p>
    <w:p>
      <w:pPr>
        <w:pStyle w:val="Heading2"/>
        <w:pageBreakBefore/>
      </w:pPr>
      <w:r>
        <w:rPr>
          <w:rFonts w:ascii="Arial" w:cs="Arial" w:eastAsia="Arial" w:hAnsi="Arial"/>
        </w:rPr>
        <w:t xml:space="preserve">Day 11: Harness + HITL – reviewer-controlled disposition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Context, Harness &amp; Loop Engineering</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S059, S060, S061, S062, S063, S064, S065, S066</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S052, S053, S054, S055, S056, S057, S058</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Agent investigation and exception record</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Implement approve/reject/rework state model with audit events.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Reviewer state transitions and evidence log</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The deterministic matcher decides match status. ReconAI may investigate exceptions, link SOP evidence and draft non-authoritative narratives. Dispositions, adjustments, write-offs and ledger postings are made only by reconciliation analysts/reviewers, and every transition is audited.</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SOL-R11 | Day 11 / SOL-R11</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Day11_SourceLocked_5W1H_Architecture.pptx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Supervisor → Harness → Tools → Approval gate → Audit</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*Context Compaction &amp; Summarization Strategies*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*What is an Agent Harness — tools, memory, guardrails, execution environment*</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*Building a Custom Harness vs Using a Framework (LangChain/LangGraph)*</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*Sandboxing &amp; Permission Boundaries in Harnesses*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*The Agent Loop — Perceive → Plan → Act → Observe*</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*ReAct Loop vs Plan-and-Execute Loop*</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*Loop Termination Conditions &amp; Infinite-Loop Prevention*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*Human-in-the-Loop Checkpoints Inside the Loop*</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ReconAI activity</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S059, S060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*Context Compaction &amp; Summarization Strategies*</w:t>
            </w:r>
          </w:p>
          <w:p>
            <w:pPr>
              <w:spacing w:after="20"/>
            </w:pPr>
            <w:r>
              <w:rPr>
                <w:rFonts w:ascii="Arial" w:cs="Arial" w:eastAsia="Arial" w:hAnsi="Arial"/>
                <w:sz w:val="15"/>
                <w:szCs w:val="15"/>
              </w:rPr>
              <w:t xml:space="preserve">*What is an Agent Harness — tools, memory, guardrails, execution environment*</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reviewer-controlled disposition</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S061, S062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*Building a Custom Harness vs Using a Framework (LangChain/LangGraph)*</w:t>
            </w:r>
          </w:p>
          <w:p>
            <w:pPr>
              <w:spacing w:after="20"/>
            </w:pPr>
            <w:r>
              <w:rPr>
                <w:rFonts w:ascii="Arial" w:cs="Arial" w:eastAsia="Arial" w:hAnsi="Arial"/>
                <w:sz w:val="15"/>
                <w:szCs w:val="15"/>
              </w:rPr>
              <w:t xml:space="preserve">*Sandboxing &amp; Permission Boundaries in Harnesses*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reviewer-controlled disposition</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S063, S064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 Agent Loop — Perceive → Plan → Act → Observe*</w:t>
            </w:r>
          </w:p>
          <w:p>
            <w:pPr>
              <w:spacing w:after="20"/>
            </w:pPr>
            <w:r>
              <w:rPr>
                <w:rFonts w:ascii="Arial" w:cs="Arial" w:eastAsia="Arial" w:hAnsi="Arial"/>
                <w:sz w:val="15"/>
                <w:szCs w:val="15"/>
              </w:rPr>
              <w:t xml:space="preserve">*ReAct Loop vs Plan-and-Execute Loop*</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reviewer-controlled disposition</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S065, S066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*Loop Termination Conditions &amp; Infinite-Loop Prevention*</w:t>
            </w:r>
          </w:p>
          <w:p>
            <w:pPr>
              <w:spacing w:after="20"/>
            </w:pPr>
            <w:r>
              <w:rPr>
                <w:rFonts w:ascii="Arial" w:cs="Arial" w:eastAsia="Arial" w:hAnsi="Arial"/>
                <w:sz w:val="15"/>
                <w:szCs w:val="15"/>
              </w:rPr>
              <w:t xml:space="preserve">*Human-in-the-Loop Checkpoints Inside the Loop*</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Implement approve/reject/rework state model with audit events.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1" descr="Day 11 workflow for ReconAI" title="Day 11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S059, S060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the harness and compaction for long exception histories.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 harness is where governance is enforced; compaction keeps long histories usable.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Harness outline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S061, S062</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Set sandbox and permission boundaries for analyst and reviewer roles.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Separation of duties between analyst, reviewer and agent is a reconciliation control requirement.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Permission matrix</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S063, S064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Implement approve/reject/rework states within the loop.</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Every exception needs a recorded disposition.</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Reviewer state model</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S065, S066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Add termination rules, human checkpoints and audit events.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Every disposition must be attributable to a person and reconstructable for audit.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Reviewer state transitions + evidence log</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Define the harness and compaction for long exception histories.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S059, S060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Diagram tools, memory, guardrails and runtime; summarise older investigation turns while keeping amounts, dates and IDs verbatim.</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The harness is where governance is enforced; compaction keeps long histories usable.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Harness outline</w:t>
      </w:r>
    </w:p>
    <w:p>
      <w:pPr>
        <w:spacing w:after="60" w:before="120"/>
      </w:pPr>
      <w:r>
        <w:rPr>
          <w:rFonts w:ascii="Arial" w:cs="Arial" w:eastAsia="Arial" w:hAnsi="Arial"/>
          <w:b/>
          <w:bCs/>
          <w:color w:val="17365D"/>
          <w:sz w:val="20"/>
          <w:szCs w:val="20"/>
        </w:rPr>
        <w:t xml:space="preserve">Step 2 – Set sandbox and permission boundaries for analyst and reviewer roles.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S061, S062</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Build a role × action matrix for analyst, reviewer and agent; enforce it in code; test that the agent cannot call a reviewer action.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Separation of duties between analyst, reviewer and agent is a reconciliation control requirement.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Permission matrix</w:t>
      </w:r>
    </w:p>
    <w:p>
      <w:pPr>
        <w:spacing w:after="60" w:before="120"/>
      </w:pPr>
      <w:r>
        <w:rPr>
          <w:rFonts w:ascii="Arial" w:cs="Arial" w:eastAsia="Arial" w:hAnsi="Arial"/>
          <w:b/>
          <w:bCs/>
          <w:color w:val="17365D"/>
          <w:sz w:val="20"/>
          <w:szCs w:val="20"/>
        </w:rPr>
        <w:t xml:space="preserve">Step 3 – Implement approve/reject/rework states within the loop.</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S063, S064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Implement states open → investigated → pending_review → approved / rejected / rework; allow only listed transitions.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Every exception needs a recorded disposition.</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Reviewer state model</w:t>
      </w:r>
    </w:p>
    <w:p>
      <w:pPr>
        <w:spacing w:after="60" w:before="120"/>
      </w:pPr>
      <w:r>
        <w:rPr>
          <w:rFonts w:ascii="Arial" w:cs="Arial" w:eastAsia="Arial" w:hAnsi="Arial"/>
          <w:b/>
          <w:bCs/>
          <w:color w:val="17365D"/>
          <w:sz w:val="20"/>
          <w:szCs w:val="20"/>
        </w:rPr>
        <w:t xml:space="preserve">Step 4 – Add termination rules, human checkpoints and audit events.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S065, S066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Write an audit event for every transition (actor, timestamp, from, to, reason, evidence_refs); stop the loop on max steps or repeated actions and hand off to a reviewer.</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Every disposition must be attributable to a person and reconstructable for audit.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Reviewer state transitions + evidence log</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Agent investigation and exception record</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Harness + compaction → Permissions → State model → Audit + HITL</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Reviewer state transitions and evidence log</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Reviewer state transitions and evidence log.</w:t>
      </w:r>
    </w:p>
    <w:p>
      <w:pPr>
        <w:pStyle w:val="ListParagraph"/>
        <w:numPr>
          <w:ilvl w:val="0"/>
          <w:numId w:val="2"/>
        </w:numPr>
        <w:spacing w:after="60"/>
      </w:pPr>
      <w:r>
        <w:rPr>
          <w:rFonts w:ascii="Arial" w:cs="Arial" w:eastAsia="Arial" w:hAnsi="Arial"/>
          <w:sz w:val="20"/>
          <w:szCs w:val="20"/>
        </w:rPr>
        <w:t xml:space="preserve">No transition to 'approved' occurs without a reviewer identity.</w:t>
      </w:r>
    </w:p>
    <w:p>
      <w:pPr>
        <w:pStyle w:val="ListParagraph"/>
        <w:numPr>
          <w:ilvl w:val="0"/>
          <w:numId w:val="2"/>
        </w:numPr>
        <w:spacing w:after="60"/>
      </w:pPr>
      <w:r>
        <w:rPr>
          <w:rFonts w:ascii="Arial" w:cs="Arial" w:eastAsia="Arial" w:hAnsi="Arial"/>
          <w:sz w:val="20"/>
          <w:szCs w:val="20"/>
        </w:rPr>
        <w:t xml:space="preserve">Audit log records every transition.</w:t>
      </w:r>
    </w:p>
    <w:p>
      <w:pPr>
        <w:pStyle w:val="ListParagraph"/>
        <w:numPr>
          <w:ilvl w:val="0"/>
          <w:numId w:val="2"/>
        </w:numPr>
        <w:spacing w:after="60"/>
      </w:pPr>
      <w:r>
        <w:rPr>
          <w:rFonts w:ascii="Arial" w:cs="Arial" w:eastAsia="Arial" w:hAnsi="Arial"/>
          <w:sz w:val="20"/>
          <w:szCs w:val="20"/>
        </w:rPr>
        <w:t xml:space="preserve">Every step traces to its hourly block and source IDs (S059, S060, S061, S062, S063, S064, S065, S066);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Reviewer state transitions and evidence log becomes an explicit input for Day 12 — ReconAI: graph-based reconciliation team (Day 12 input: Recon matcher and human review transition).</w:t>
      </w:r>
    </w:p>
    <w:p>
      <w:pPr>
        <w:pStyle w:val="Heading2"/>
        <w:pageBreakBefore/>
      </w:pPr>
      <w:r>
        <w:rPr>
          <w:rFonts w:ascii="Arial" w:cs="Arial" w:eastAsia="Arial" w:hAnsi="Arial"/>
        </w:rPr>
        <w:t xml:space="preserve">Day 12: LangGraph – graph-based reconciliation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LangGraph/CrewAI/AutoGen – Advanced AI Agents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S067, S068, S069, S070, S071</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S060, S061, S062, S063, S064, S065, S066</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Recon matcher and human review transition</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Design ingest/match/explain/review node/edge graph.</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Recon graph and sample execution trace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The deterministic matcher decides match status. ReconAI may investigate exceptions, link SOP evidence and draft non-authoritative narratives. Dispositions, adjustments, write-offs and ledger postings are made only by reconciliation analysts/reviewers, and every transition is audited.</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SOL-R12 | Day 12 / SOL-R12</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Day12_SourceLocked_5W1H_Architecture.pptx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Graph START → Triage → Transaction → Policy → Review</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LangGraph/CrewAI/AutoGen – Advanced AI Agents  | Introduction to LangGraph, CrewAI, and AutoGen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Key Components of LangGraph (Nodes, Edges, States)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LangGraph/AutoGen for Autonomous LLM Applications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Real-Time Data Processing with LangGraph</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Building Stateful AI Systems</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ReconAI activity</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S067</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LangGraph/CrewAI/AutoGen – Advanced AI Agents | Introduction to LangGraph, CrewAI, and AutoGen</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graph-based reconciliation team</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Key Components of LangGraph (Nodes, Edges, States)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graph-based reconciliation team</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S069</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LangGraph/AutoGen for Autonomous LLM Applications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graph-based reconciliation team</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S070, S071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Real-Time Data Processing with LangGraph</w:t>
            </w:r>
          </w:p>
          <w:p>
            <w:pPr>
              <w:spacing w:after="20"/>
            </w:pPr>
            <w:r>
              <w:rPr>
                <w:rFonts w:ascii="Arial" w:cs="Arial" w:eastAsia="Arial" w:hAnsi="Arial"/>
                <w:sz w:val="15"/>
                <w:szCs w:val="15"/>
              </w:rPr>
              <w:t xml:space="preserve">Building Stateful AI Systems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Design ingest/match/explain/review node/edge graph.</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2" descr="Day 12 workflow for ReconAI" title="Day 12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S067</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Choose LangGraph/CrewAI/AutoGen for the reconciliation team.</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 framework choice affects how well state and audit events can be controlled.</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Framework choice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S068</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Design ingest/match/explain/review nodes, edges and state.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Explicit nodes and edges make the reconciliation flow visible and testable.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graph</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S069</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Run the graph on the exception batch.</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 full-batch run proves the graph works end to end, not just on single cases.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Execution trace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S070, S071</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Persist state and handle new settlement files arriving.</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Settlement files arrive continuously; the graph must resume and pick up new batches.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graph + sample execution trace</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Choose LangGraph/CrewAI/AutoGen for the reconciliation team.</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S067</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Score LangGraph, CrewAI and AutoGen on state control, HITL support and audit logging; record the decision.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The framework choice affects how well state and audit events can be controlled.</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Framework choice</w:t>
      </w:r>
    </w:p>
    <w:p>
      <w:pPr>
        <w:spacing w:after="60" w:before="120"/>
      </w:pPr>
      <w:r>
        <w:rPr>
          <w:rFonts w:ascii="Arial" w:cs="Arial" w:eastAsia="Arial" w:hAnsi="Arial"/>
          <w:b/>
          <w:bCs/>
          <w:color w:val="17365D"/>
          <w:sz w:val="20"/>
          <w:szCs w:val="20"/>
        </w:rPr>
        <w:t xml:space="preserve">Step 2 – Design ingest/match/explain/review nodes, edges and state.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S068</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Define state fields (batch_id, exception, match_result, evidence, narrative, disposition); add ingest, match, explain and review nodes with a conditional edge to review.</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Explicit nodes and edges make the reconciliation flow visible and testable.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Recon graph</w:t>
      </w:r>
    </w:p>
    <w:p>
      <w:pPr>
        <w:spacing w:after="60" w:before="120"/>
      </w:pPr>
      <w:r>
        <w:rPr>
          <w:rFonts w:ascii="Arial" w:cs="Arial" w:eastAsia="Arial" w:hAnsi="Arial"/>
          <w:b/>
          <w:bCs/>
          <w:color w:val="17365D"/>
          <w:sz w:val="20"/>
          <w:szCs w:val="20"/>
        </w:rPr>
        <w:t xml:space="preserve">Step 3 – Run the graph on the exception batch.</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S069</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Run the graph on the full Day 1 exception batch; save node-by-node traces; count exceptions reaching review.</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 full-batch run proves the graph works end to end, not just on single cases.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Execution trace</w:t>
      </w:r>
    </w:p>
    <w:p>
      <w:pPr>
        <w:spacing w:after="60" w:before="120"/>
      </w:pPr>
      <w:r>
        <w:rPr>
          <w:rFonts w:ascii="Arial" w:cs="Arial" w:eastAsia="Arial" w:hAnsi="Arial"/>
          <w:b/>
          <w:bCs/>
          <w:color w:val="17365D"/>
          <w:sz w:val="20"/>
          <w:szCs w:val="20"/>
        </w:rPr>
        <w:t xml:space="preserve">Step 4 – Persist state and handle new settlement files arriving.</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S070, S071</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Add a checkpointer; restart mid-batch and confirm resume; simulate a new settlement file arriving and document how the graph picks it up.</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Settlement files arrive continuously; the graph must resume and pick up new batches.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Recon graph + sample execution trace</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Recon matcher and human review transition</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Framework choice → Nodes/edges/state → Autonomous run → Stateful + real-time</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Recon graph and sample execution trace</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Recon graph and sample execution trace.</w:t>
      </w:r>
    </w:p>
    <w:p>
      <w:pPr>
        <w:pStyle w:val="ListParagraph"/>
        <w:numPr>
          <w:ilvl w:val="0"/>
          <w:numId w:val="2"/>
        </w:numPr>
        <w:spacing w:after="60"/>
      </w:pPr>
      <w:r>
        <w:rPr>
          <w:rFonts w:ascii="Arial" w:cs="Arial" w:eastAsia="Arial" w:hAnsi="Arial"/>
          <w:sz w:val="20"/>
          <w:szCs w:val="20"/>
        </w:rPr>
        <w:t xml:space="preserve">The graph resumes from persisted state.</w:t>
      </w:r>
    </w:p>
    <w:p>
      <w:pPr>
        <w:pStyle w:val="ListParagraph"/>
        <w:numPr>
          <w:ilvl w:val="0"/>
          <w:numId w:val="2"/>
        </w:numPr>
        <w:spacing w:after="60"/>
      </w:pPr>
      <w:r>
        <w:rPr>
          <w:rFonts w:ascii="Arial" w:cs="Arial" w:eastAsia="Arial" w:hAnsi="Arial"/>
          <w:sz w:val="20"/>
          <w:szCs w:val="20"/>
        </w:rPr>
        <w:t xml:space="preserve">Review node is mandatory before closure.</w:t>
      </w:r>
    </w:p>
    <w:p>
      <w:pPr>
        <w:pStyle w:val="ListParagraph"/>
        <w:numPr>
          <w:ilvl w:val="0"/>
          <w:numId w:val="2"/>
        </w:numPr>
        <w:spacing w:after="60"/>
      </w:pPr>
      <w:r>
        <w:rPr>
          <w:rFonts w:ascii="Arial" w:cs="Arial" w:eastAsia="Arial" w:hAnsi="Arial"/>
          <w:sz w:val="20"/>
          <w:szCs w:val="20"/>
        </w:rPr>
        <w:t xml:space="preserve">Every step traces to its hourly block and source IDs (S067, S068, S069, S070, S071);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Recon graph and sample execution trace becomes an explicit input for Day 13 — ReconAI: event and tool integration outline (Day 13 input: Recon graph plus reconciliation event sample).</w:t>
      </w:r>
    </w:p>
    <w:p>
      <w:pPr>
        <w:pStyle w:val="Heading2"/>
        <w:pageBreakBefore/>
      </w:pPr>
      <w:r>
        <w:rPr>
          <w:rFonts w:ascii="Arial" w:cs="Arial" w:eastAsia="Arial" w:hAnsi="Arial"/>
        </w:rPr>
        <w:t xml:space="preserve">Day 13: Graph + Protocol intro – event and tool integration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LangGraph/CrewAI/AutoGen – Advanced AI Agents | Architecting Agentic Systems – MCP &amp; A2A Protocols | Applied Data Processing — Batch Fundamentals &amp; Streaming Fundamentals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S072, S073, S074, S075, S076, S077, S078</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S067, S068, S069, S070, S071</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Recon graph plus reconciliation event sample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Draft streaming exception notification and MCP/A2A integration boundary.</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Boundary diagram and message examples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The deterministic matcher decides match status. ReconAI may investigate exceptions, link SOP evidence and draft non-authoritative narratives. Dispositions, adjustments, write-offs and ledger postings are made only by reconciliation analysts/reviewers, and every transition is audited.</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SOL-R13 | Day 13 / SOL-R13</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Day13_SourceLocked_5W1H_Architecture.pptx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Runnable local source code is provided in the ZIP and mapped in the master workbook. See source path in the applied-module section below.</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LangGraph → MCP client → Banking tools; A2A → Agents</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Advanced Orchestration Techniques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Building Multi-Actor Applications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Cycles and Branching; Memory/Persistence; Human in the Loop (HITL); Streaming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Guidelines and Best Practices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Architecting Agentic Systems – MCP &amp; A2A Protocols  | Principles of Agentic AI Application Design (Architecture level)</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MCP (Model Context Protocol) — MCP Server / Host / Client</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A2A (Agent-to-Agent Protocol)</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ReconAI activity</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Advanced Orchestration Techniques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event and tool integration outline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S073, S074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Building Multi-Actor Applications</w:t>
            </w:r>
          </w:p>
          <w:p>
            <w:pPr>
              <w:spacing w:after="20"/>
            </w:pPr>
            <w:r>
              <w:rPr>
                <w:rFonts w:ascii="Arial" w:cs="Arial" w:eastAsia="Arial" w:hAnsi="Arial"/>
                <w:sz w:val="15"/>
                <w:szCs w:val="15"/>
              </w:rPr>
              <w:t xml:space="preserve">Cycles and Branching; Memory/Persistence; Human in the Loop (HITL); Streaming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event and tool integration outline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S075, S076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Guidelines and Best Practices</w:t>
            </w:r>
          </w:p>
          <w:p>
            <w:pPr>
              <w:spacing w:after="20"/>
            </w:pPr>
            <w:r>
              <w:rPr>
                <w:rFonts w:ascii="Arial" w:cs="Arial" w:eastAsia="Arial" w:hAnsi="Arial"/>
                <w:sz w:val="15"/>
                <w:szCs w:val="15"/>
              </w:rPr>
              <w:t xml:space="preserve">Architecting Agentic Systems – MCP &amp; A2A Protocols | Principles of Agentic AI Application Design (Architecture level)</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event and tool integration outline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S077, S078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MCP (Model Context Protocol) — MCP Server / Host / Client</w:t>
            </w:r>
          </w:p>
          <w:p>
            <w:pPr>
              <w:spacing w:after="20"/>
            </w:pPr>
            <w:r>
              <w:rPr>
                <w:rFonts w:ascii="Arial" w:cs="Arial" w:eastAsia="Arial" w:hAnsi="Arial"/>
                <w:sz w:val="15"/>
                <w:szCs w:val="15"/>
              </w:rPr>
              <w:t xml:space="preserve">A2A (Agent-to-Agent Protocol)</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Draft streaming exception notification and MCP/A2A integration boundary.</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3" descr="Day 13 workflow for ReconAI" title="Day 13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S072</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Plan orchestration for ingest, matcher, exception and reviewer actors.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Clear actor responsibilities prevent overlapping work and unclear ownership.</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Actor plan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S073, S074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Draft streaming exception notifications with cycles and HITL.</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Reviewers need timely alerts on new or ageing exceptions.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Notification design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S075, S076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Apply best practices and architecture principles.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Architecture principles keep protocol boundaries safe as the design grows.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Principles list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S077, S078</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Draft the MCP tool boundary and A2A messages.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Separates tool access from agent collaboration.</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Boundary diagram + message examples</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Plan orchestration for ingest, matcher, exception and reviewer actors.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S072</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Define goals, tools and handoff triggers for ingest, matcher, exception and reviewer actors.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Clear actor responsibilities prevent overlapping work and unclear ownership.</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Actor plan</w:t>
      </w:r>
    </w:p>
    <w:p>
      <w:pPr>
        <w:spacing w:after="60" w:before="120"/>
      </w:pPr>
      <w:r>
        <w:rPr>
          <w:rFonts w:ascii="Arial" w:cs="Arial" w:eastAsia="Arial" w:hAnsi="Arial"/>
          <w:b/>
          <w:bCs/>
          <w:color w:val="17365D"/>
          <w:sz w:val="20"/>
          <w:szCs w:val="20"/>
        </w:rPr>
        <w:t xml:space="preserve">Step 2 – Draft streaming exception notifications with cycles and HITL.</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S073, S074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Design an exception-created event payload (exception_id, type, amount band, correlation_id); show where rework cycles and human interrupts occur.</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Reviewers need timely alerts on new or ageing exceptions.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Notification design</w:t>
      </w:r>
    </w:p>
    <w:p>
      <w:pPr>
        <w:spacing w:after="60" w:before="120"/>
      </w:pPr>
      <w:r>
        <w:rPr>
          <w:rFonts w:ascii="Arial" w:cs="Arial" w:eastAsia="Arial" w:hAnsi="Arial"/>
          <w:b/>
          <w:bCs/>
          <w:color w:val="17365D"/>
          <w:sz w:val="20"/>
          <w:szCs w:val="20"/>
        </w:rPr>
        <w:t xml:space="preserve">Step 3 – Apply best practices and architecture principles.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S075, S076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Apply least privilege, explicit state, bounded loops and human authority to each boundary.</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Architecture principles keep protocol boundaries safe as the design grows.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Principles list</w:t>
      </w:r>
    </w:p>
    <w:p>
      <w:pPr>
        <w:spacing w:after="60" w:before="120"/>
      </w:pPr>
      <w:r>
        <w:rPr>
          <w:rFonts w:ascii="Arial" w:cs="Arial" w:eastAsia="Arial" w:hAnsi="Arial"/>
          <w:b/>
          <w:bCs/>
          <w:color w:val="17365D"/>
          <w:sz w:val="20"/>
          <w:szCs w:val="20"/>
        </w:rPr>
        <w:t xml:space="preserve">Step 4 – Draft the MCP tool boundary and A2A messages.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S077, S078</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Place matcher and SOP search behind an MCP server; write one A2A task message from the exception agent to the reviewer agent with correlation_id.</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Separates tool access from agent collaboration.</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Boundary diagram + message examples</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Recon graph plus reconciliation event sample</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Orchestration → Streaming notifications → Design principles → MCP/A2A boundary</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Boundary diagram and message examples</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Boundary diagram and message examples.</w:t>
      </w:r>
    </w:p>
    <w:p>
      <w:pPr>
        <w:pStyle w:val="ListParagraph"/>
        <w:numPr>
          <w:ilvl w:val="0"/>
          <w:numId w:val="2"/>
        </w:numPr>
        <w:spacing w:after="60"/>
      </w:pPr>
      <w:r>
        <w:rPr>
          <w:rFonts w:ascii="Arial" w:cs="Arial" w:eastAsia="Arial" w:hAnsi="Arial"/>
          <w:sz w:val="20"/>
          <w:szCs w:val="20"/>
        </w:rPr>
        <w:t xml:space="preserve">Boundary diagram separates MCP and A2A.</w:t>
      </w:r>
    </w:p>
    <w:p>
      <w:pPr>
        <w:pStyle w:val="ListParagraph"/>
        <w:numPr>
          <w:ilvl w:val="0"/>
          <w:numId w:val="2"/>
        </w:numPr>
        <w:spacing w:after="60"/>
      </w:pPr>
      <w:r>
        <w:rPr>
          <w:rFonts w:ascii="Arial" w:cs="Arial" w:eastAsia="Arial" w:hAnsi="Arial"/>
          <w:sz w:val="20"/>
          <w:szCs w:val="20"/>
        </w:rPr>
        <w:t xml:space="preserve">Message examples include correlation IDs.</w:t>
      </w:r>
    </w:p>
    <w:p>
      <w:pPr>
        <w:pStyle w:val="ListParagraph"/>
        <w:numPr>
          <w:ilvl w:val="0"/>
          <w:numId w:val="2"/>
        </w:numPr>
        <w:spacing w:after="60"/>
      </w:pPr>
      <w:r>
        <w:rPr>
          <w:rFonts w:ascii="Arial" w:cs="Arial" w:eastAsia="Arial" w:hAnsi="Arial"/>
          <w:sz w:val="20"/>
          <w:szCs w:val="20"/>
        </w:rPr>
        <w:t xml:space="preserve">Every step traces to its hourly block and source IDs (S072, S073, S074, S075, S076, S077, S078);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Boundary diagram and message examples becomes an explicit input for Day 14 — ReconAI: specialist-agent interaction (Day 14 input: Ingest/matcher/exception/reviewer roles and audit constraints).</w:t>
      </w:r>
    </w:p>
    <w:p>
      <w:pPr>
        <w:pStyle w:val="Heading2"/>
        <w:pageBreakBefore/>
      </w:pPr>
      <w:r>
        <w:rPr>
          <w:rFonts w:ascii="Arial" w:cs="Arial" w:eastAsia="Arial" w:hAnsi="Arial"/>
        </w:rPr>
        <w:t xml:space="preserve">Day 14: Architecting + Gemini intro – specialist-agent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Architecting Agentic Systems – MCP &amp; A2A Protocols | Gemini Enterprise Agent Development | Cloud Batch &amp; Event-Streaming Architecture — Pub/Sub, Dataflow/Apache Beam &amp; BigQuery</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S079, S080, S081, S082, S083, S084, S085, S086</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S076, S077, S078</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Ingest/matcher/exception/reviewer roles and audit constraints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Specify coordination, escalation and adaptive threshold policies.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Recon agent design and approval checklist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The deterministic matcher decides match status. ReconAI may investigate exceptions, link SOP evidence and draft non-authoritative narratives. Dispositions, adjustments, write-offs and ledger postings are made only by reconciliation analysts/reviewers, and every transition is audited.</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SOL-R14 | Day 14 / SOL-R14</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Day14_SourceLocked_5W1H_Architecture.pptx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Runnable local source code is provided in the ZIP and mapped in the master workbook. See source path in the applied-module section below.</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A2A coordinator → Specialist agents → Reviewer → Case outcome</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Multi-Agent Coordination Strategies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Architecting AI Workflows with Autonomous Agents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Designing Human-in-the-Loop Agentic Systems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Adaptive Agents for Dynamic Environments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Evaluating and Deploying Agents — LLMs as Judge</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Ethical &amp; Regulatory Considerations in AI Agents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Guidelines and Best Practices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Gemini Enterprise Agent Development  | *Use Agents to Build Agents*</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ReconAI activity</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S079, S080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Multi-Agent Coordination Strategies</w:t>
            </w:r>
          </w:p>
          <w:p>
            <w:pPr>
              <w:spacing w:after="20"/>
            </w:pPr>
            <w:r>
              <w:rPr>
                <w:rFonts w:ascii="Arial" w:cs="Arial" w:eastAsia="Arial" w:hAnsi="Arial"/>
                <w:sz w:val="15"/>
                <w:szCs w:val="15"/>
              </w:rPr>
              <w:t xml:space="preserve">Architecting AI Workflows with Autonomous Agents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specialist-agent interaction</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S081, S082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Designing Human-in-the-Loop Agentic Systems</w:t>
            </w:r>
          </w:p>
          <w:p>
            <w:pPr>
              <w:spacing w:after="20"/>
            </w:pPr>
            <w:r>
              <w:rPr>
                <w:rFonts w:ascii="Arial" w:cs="Arial" w:eastAsia="Arial" w:hAnsi="Arial"/>
                <w:sz w:val="15"/>
                <w:szCs w:val="15"/>
              </w:rPr>
              <w:t xml:space="preserve">Adaptive Agents for Dynamic Environments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specialist-agent interaction</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S083, S084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Evaluating and Deploying Agents — LLMs as Judge</w:t>
            </w:r>
          </w:p>
          <w:p>
            <w:pPr>
              <w:spacing w:after="20"/>
            </w:pPr>
            <w:r>
              <w:rPr>
                <w:rFonts w:ascii="Arial" w:cs="Arial" w:eastAsia="Arial" w:hAnsi="Arial"/>
                <w:sz w:val="15"/>
                <w:szCs w:val="15"/>
              </w:rPr>
              <w:t xml:space="preserve">Ethical &amp; Regulatory Considerations in AI Agents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specialist-agent interaction</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S085, S086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Guidelines and Best Practices</w:t>
            </w:r>
          </w:p>
          <w:p>
            <w:pPr>
              <w:spacing w:after="20"/>
            </w:pPr>
            <w:r>
              <w:rPr>
                <w:rFonts w:ascii="Arial" w:cs="Arial" w:eastAsia="Arial" w:hAnsi="Arial"/>
                <w:sz w:val="15"/>
                <w:szCs w:val="15"/>
              </w:rPr>
              <w:t xml:space="preserve">Gemini Enterprise Agent Development | *Use Agents to Build Agents*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Specify coordination, escalation and adaptive threshold policies.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4" descr="Day 14 workflow for ReconAI" title="Day 14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S079, S080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Specify coordination among ingest, matcher, exception and reviewer roles.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Clear coordination avoids duplicate investigation and conflicting exception states.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Coordination spec</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S081, S082</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escalation and adaptive threshold policies.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Thresholds must adapt to volume without silently weakening the control.</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Threshold policy</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S083, S084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LLM-as-judge checks and regulatory considerations.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Narrative quality and neutrality must be measured, and regulated records need review.</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Judge rubric</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S085, S086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Apply best practices; note Gemini agent-building assumptions; finalise design.</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 checklist makes the design reviewable and approvable by control owners.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agent design + approval checklist</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Specify coordination among ingest, matcher, exception and reviewer roles.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S079, S080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Choose supervisor or sequential coordination; document message order and who owns each exception state.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Clear coordination avoids duplicate investigation and conflicting exception states.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Coordination spec</w:t>
      </w:r>
    </w:p>
    <w:p>
      <w:pPr>
        <w:spacing w:after="60" w:before="120"/>
      </w:pPr>
      <w:r>
        <w:rPr>
          <w:rFonts w:ascii="Arial" w:cs="Arial" w:eastAsia="Arial" w:hAnsi="Arial"/>
          <w:b/>
          <w:bCs/>
          <w:color w:val="17365D"/>
          <w:sz w:val="20"/>
          <w:szCs w:val="20"/>
        </w:rPr>
        <w:t xml:space="preserve">Step 2 – Define escalation and adaptive threshold policies.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S081, S082</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Define escalation triggers (amount above threshold, repeated exception, ageing); allow threshold changes only with named approval and audit.</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Thresholds must adapt to volume without silently weakening the control.</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Threshold policy</w:t>
      </w:r>
    </w:p>
    <w:p>
      <w:pPr>
        <w:spacing w:after="60" w:before="120"/>
      </w:pPr>
      <w:r>
        <w:rPr>
          <w:rFonts w:ascii="Arial" w:cs="Arial" w:eastAsia="Arial" w:hAnsi="Arial"/>
          <w:b/>
          <w:bCs/>
          <w:color w:val="17365D"/>
          <w:sz w:val="20"/>
          <w:szCs w:val="20"/>
        </w:rPr>
        <w:t xml:space="preserve">Step 3 – Define LLM-as-judge checks and regulatory considerations.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S083, S084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Write a judge rubric for narrative accuracy and neutrality; calibrate on 10 human-scored samples; list regulatory considerations (audit, record retention).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Narrative quality and neutrality must be measured, and regulated records need review.</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Judge rubric</w:t>
      </w:r>
    </w:p>
    <w:p>
      <w:pPr>
        <w:spacing w:after="60" w:before="120"/>
      </w:pPr>
      <w:r>
        <w:rPr>
          <w:rFonts w:ascii="Arial" w:cs="Arial" w:eastAsia="Arial" w:hAnsi="Arial"/>
          <w:b/>
          <w:bCs/>
          <w:color w:val="17365D"/>
          <w:sz w:val="20"/>
          <w:szCs w:val="20"/>
        </w:rPr>
        <w:t xml:space="preserve">Step 4 – Apply best practices; note Gemini agent-building assumptions; finalise design.</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S085, S086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Complete the approval checklist with owner per item; record assumptions about Gemini Enterprise agent building.</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 checklist makes the design reviewable and approvable by control owners.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Recon agent design + approval checklist</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Ingest/matcher/exception/reviewer roles and audit constraints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Coordination → Escalation + adaptive thresholds → Judge + ethics → Approval checklist</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Recon agent design and approval checklist</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Recon agent design and approval checklist.</w:t>
      </w:r>
    </w:p>
    <w:p>
      <w:pPr>
        <w:pStyle w:val="ListParagraph"/>
        <w:numPr>
          <w:ilvl w:val="0"/>
          <w:numId w:val="2"/>
        </w:numPr>
        <w:spacing w:after="60"/>
      </w:pPr>
      <w:r>
        <w:rPr>
          <w:rFonts w:ascii="Arial" w:cs="Arial" w:eastAsia="Arial" w:hAnsi="Arial"/>
          <w:sz w:val="20"/>
          <w:szCs w:val="20"/>
        </w:rPr>
        <w:t xml:space="preserve">Threshold changes require named approval.</w:t>
      </w:r>
    </w:p>
    <w:p>
      <w:pPr>
        <w:pStyle w:val="ListParagraph"/>
        <w:numPr>
          <w:ilvl w:val="0"/>
          <w:numId w:val="2"/>
        </w:numPr>
        <w:spacing w:after="60"/>
      </w:pPr>
      <w:r>
        <w:rPr>
          <w:rFonts w:ascii="Arial" w:cs="Arial" w:eastAsia="Arial" w:hAnsi="Arial"/>
          <w:sz w:val="20"/>
          <w:szCs w:val="20"/>
        </w:rPr>
        <w:t xml:space="preserve">The checklist covers audit constraints.</w:t>
      </w:r>
    </w:p>
    <w:p>
      <w:pPr>
        <w:pStyle w:val="ListParagraph"/>
        <w:numPr>
          <w:ilvl w:val="0"/>
          <w:numId w:val="2"/>
        </w:numPr>
        <w:spacing w:after="60"/>
      </w:pPr>
      <w:r>
        <w:rPr>
          <w:rFonts w:ascii="Arial" w:cs="Arial" w:eastAsia="Arial" w:hAnsi="Arial"/>
          <w:sz w:val="20"/>
          <w:szCs w:val="20"/>
        </w:rPr>
        <w:t xml:space="preserve">Every step traces to its hourly block and source IDs (S079, S080, S081, S082, S083, S084, S085, S086);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Recon agent design and approval checklist becomes an explicit input for Day 15 — ReconAI: compare tuning choices (Day 15 input: Recon prompt regression set and sample cases).</w:t>
      </w:r>
    </w:p>
    <w:p>
      <w:pPr>
        <w:pStyle w:val="Heading2"/>
        <w:pageBreakBefore/>
      </w:pPr>
      <w:r>
        <w:rPr>
          <w:rFonts w:ascii="Arial" w:cs="Arial" w:eastAsia="Arial" w:hAnsi="Arial"/>
        </w:rPr>
        <w:t xml:space="preserve">Day 15: ADK + Fine-tuning – compare tuning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Gemini Enterprise Agent Development | LLM Fine-Tuning &amp; Evaluation | Batch Validation &amp; Publisher Batching — Event Time, Windows, Watermarks &amp; Late Data</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S087, S088, S089, S090, S091, S092, S093</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S086</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Recon prompt regression set and sample cases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Build prompt/eval comparisons; decide if fine tuning is justified or not.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Recon evaluation notes and tuning recommendation</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The deterministic matcher decides match status. ReconAI may investigate exceptions, link SOP evidence and draft non-authoritative narratives. Dispositions, adjustments, write-offs and ledger postings are made only by reconciliation analysts/reviewers, and every transition is audited.</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SOL-R15 | Day 15 / SOL-R15</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Day15_SourceLocked_5W1H_Architecture.pptx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Runnable local source code is provided in the ZIP and mapped in the master workbook. See source path in the applied-module section below.</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ADK agents → Dataset → Evaluation → Improvement → Repeat</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*Build and Deploy Agents with Agent Development Kit (ADK)*</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*Agent Evaluation and Hill Climbing*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LLM Fine-Tuning &amp; Evaluation  | Instruction vs Task-Specific Fine-Tuning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Parameter Efficient Tuning (LoRA, QLoRA, FLAN)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Avoiding Catastrophic Forgetting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Evaluation Metrics: ROUGE, BLEU, MMLU, BIG-Bench, GLUE, HELM</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Fine-tuning for Function Calling</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ReconAI activity</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S087</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*Build and Deploy Agents with Agent Development Kit (ADK)*</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compare tuning choices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S088, S089</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*Agent Evaluation and Hill Climbing*</w:t>
            </w:r>
          </w:p>
          <w:p>
            <w:pPr>
              <w:spacing w:after="20"/>
            </w:pPr>
            <w:r>
              <w:rPr>
                <w:rFonts w:ascii="Arial" w:cs="Arial" w:eastAsia="Arial" w:hAnsi="Arial"/>
                <w:sz w:val="15"/>
                <w:szCs w:val="15"/>
              </w:rPr>
              <w:t xml:space="preserve">LLM Fine-Tuning &amp; Evaluation | Instruction vs Task-Specific Fine-Tuning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compare tuning choices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S090, S091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Parameter Efficient Tuning (LoRA, QLoRA, FLAN)</w:t>
            </w:r>
          </w:p>
          <w:p>
            <w:pPr>
              <w:spacing w:after="20"/>
            </w:pPr>
            <w:r>
              <w:rPr>
                <w:rFonts w:ascii="Arial" w:cs="Arial" w:eastAsia="Arial" w:hAnsi="Arial"/>
                <w:sz w:val="15"/>
                <w:szCs w:val="15"/>
              </w:rPr>
              <w:t xml:space="preserve">Avoiding Catastrophic Forgetting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compare tuning choices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S092, S093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Evaluation Metrics: ROUGE, BLEU, MMLU, BIG-Bench, GLUE, HELM</w:t>
            </w:r>
          </w:p>
          <w:p>
            <w:pPr>
              <w:spacing w:after="20"/>
            </w:pPr>
            <w:r>
              <w:rPr>
                <w:rFonts w:ascii="Arial" w:cs="Arial" w:eastAsia="Arial" w:hAnsi="Arial"/>
                <w:sz w:val="15"/>
                <w:szCs w:val="15"/>
              </w:rPr>
              <w:t xml:space="preserve">Fine-tuning for Function Calling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Build prompt/eval comparisons; decide if fine tuning is justified or not.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5" descr="Day 15 workflow for ReconAI" title="Day 15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S087</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Map ReconAI to ADK concepts.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Mapping to ADK shows how ReconAI would run on the target agent platform.</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ADK mapping</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S088, S089</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Run prompt and evaluation comparisons on the regression set; compare instruction vs task tuning.</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Prompting may already meet targets; comparisons show whether tuning is needed at all.</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Comparison results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S090, S091</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Assess PEFT options and forgetting risk.</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Tuning has data, cost and forgetting risks that must be weighed first.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PEFT assessment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S092, S093</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Select metrics and decide whether fine-tuning is justified.</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An evidence-based recommendation avoids unnecessary or harmful fine-tuning.</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evaluation notes + tuning recommendation</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Map ReconAI to ADK concepts.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S087</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Map ReconAI actors to ADK agents, tools and sessions; record access status (approved or mock only).</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Mapping to ADK shows how ReconAI would run on the target agent platform.</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ADK mapping</w:t>
      </w:r>
    </w:p>
    <w:p>
      <w:pPr>
        <w:spacing w:after="60" w:before="120"/>
      </w:pPr>
      <w:r>
        <w:rPr>
          <w:rFonts w:ascii="Arial" w:cs="Arial" w:eastAsia="Arial" w:hAnsi="Arial"/>
          <w:b/>
          <w:bCs/>
          <w:color w:val="17365D"/>
          <w:sz w:val="20"/>
          <w:szCs w:val="20"/>
        </w:rPr>
        <w:t xml:space="preserve">Step 2 – Run prompt and evaluation comparisons on the regression set; compare instruction vs task tuning.</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S088, S089</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Run prompt variants on the Day 4 regression set; record scores; note whether instruction or task-specific tuning would address remaining failures.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Prompting may already meet targets; comparisons show whether tuning is needed at all.</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Comparison results</w:t>
      </w:r>
    </w:p>
    <w:p>
      <w:pPr>
        <w:spacing w:after="60" w:before="120"/>
      </w:pPr>
      <w:r>
        <w:rPr>
          <w:rFonts w:ascii="Arial" w:cs="Arial" w:eastAsia="Arial" w:hAnsi="Arial"/>
          <w:b/>
          <w:bCs/>
          <w:color w:val="17365D"/>
          <w:sz w:val="20"/>
          <w:szCs w:val="20"/>
        </w:rPr>
        <w:t xml:space="preserve">Step 3 – Assess PEFT options and forgetting risk.</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S090, S091</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Estimate labelled data needed for LoRA/QLoRA; identify forgetting risk; plan a check on general tasks.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Tuning has data, cost and forgetting risks that must be weighed first.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PEFT assessment</w:t>
      </w:r>
    </w:p>
    <w:p>
      <w:pPr>
        <w:spacing w:after="60" w:before="120"/>
      </w:pPr>
      <w:r>
        <w:rPr>
          <w:rFonts w:ascii="Arial" w:cs="Arial" w:eastAsia="Arial" w:hAnsi="Arial"/>
          <w:b/>
          <w:bCs/>
          <w:color w:val="17365D"/>
          <w:sz w:val="20"/>
          <w:szCs w:val="20"/>
        </w:rPr>
        <w:t xml:space="preserve">Step 4 – Select metrics and decide whether fine-tuning is justified.</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S092, S093</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Choose metrics suitable for short factual narratives (exact-field accuracy, judge score) and explain why ROUGE/BLEU alone mislead; recommend tune or do not tune.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An evidence-based recommendation avoids unnecessary or harmful fine-tuning.</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Recon evaluation notes + tuning recommendation</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Recon prompt regression set and sample cases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ADK mapping → Prompt/eval comparisons → PEFT + forgetting → Tuning recommendation</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Recon evaluation notes and tuning recommendation</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Recon evaluation notes and tuning recommendation.</w:t>
      </w:r>
    </w:p>
    <w:p>
      <w:pPr>
        <w:pStyle w:val="ListParagraph"/>
        <w:numPr>
          <w:ilvl w:val="0"/>
          <w:numId w:val="2"/>
        </w:numPr>
        <w:spacing w:after="60"/>
      </w:pPr>
      <w:r>
        <w:rPr>
          <w:rFonts w:ascii="Arial" w:cs="Arial" w:eastAsia="Arial" w:hAnsi="Arial"/>
          <w:sz w:val="20"/>
          <w:szCs w:val="20"/>
        </w:rPr>
        <w:t xml:space="preserve">The recommendation cites comparison evidence.</w:t>
      </w:r>
    </w:p>
    <w:p>
      <w:pPr>
        <w:pStyle w:val="ListParagraph"/>
        <w:numPr>
          <w:ilvl w:val="0"/>
          <w:numId w:val="2"/>
        </w:numPr>
        <w:spacing w:after="60"/>
      </w:pPr>
      <w:r>
        <w:rPr>
          <w:rFonts w:ascii="Arial" w:cs="Arial" w:eastAsia="Arial" w:hAnsi="Arial"/>
          <w:sz w:val="20"/>
          <w:szCs w:val="20"/>
        </w:rPr>
        <w:t xml:space="preserve">Metrics suit short factual narratives.</w:t>
      </w:r>
    </w:p>
    <w:p>
      <w:pPr>
        <w:pStyle w:val="ListParagraph"/>
        <w:numPr>
          <w:ilvl w:val="0"/>
          <w:numId w:val="2"/>
        </w:numPr>
        <w:spacing w:after="60"/>
      </w:pPr>
      <w:r>
        <w:rPr>
          <w:rFonts w:ascii="Arial" w:cs="Arial" w:eastAsia="Arial" w:hAnsi="Arial"/>
          <w:sz w:val="20"/>
          <w:szCs w:val="20"/>
        </w:rPr>
        <w:t xml:space="preserve">Every step traces to its hourly block and source IDs (S087, S088, S089, S090, S091, S092, S093);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Recon evaluation notes and tuning recommendation becomes an explicit input for Day 16 — ReconAI: protocol and trace assignment (Day 16 input: Recon role contracts, sample exception queue and reviewer workflow).</w:t>
      </w:r>
    </w:p>
    <w:p>
      <w:pPr>
        <w:pStyle w:val="Heading2"/>
        <w:pageBreakBefore/>
      </w:pPr>
      <w:r>
        <w:rPr>
          <w:rFonts w:ascii="Arial" w:cs="Arial" w:eastAsia="Arial" w:hAnsi="Arial"/>
        </w:rPr>
        <w:t xml:space="preserve">Day 16: MCP/A2A advanced + Observability – protocol and trace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0.75h concept + 3.25h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Instructor emphasis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MCP/A2A advanced + Observability</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Deployment, Evaluation &amp; Observability | Streaming Observability &amp; Delivery Semantics — Correlation, Acknowledgement &amp; Durable Processing</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S094, S095, S096, S097, S098, S099, S100</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S076, S077, S078, S079, S080, S081, S082, S083, S084, S085</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Recon role contracts, sample exception queue and reviewer workflow</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Specify typed MCP tool boundary and A2A message trace; instrument event/log evidence.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Recon integration trace and contract tests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The deterministic matcher decides match status. ReconAI may investigate exceptions, link SOP evidence and draft non-authoritative narratives. Dispositions, adjustments, write-offs and ledger postings are made only by reconciliation analysts/reviewers, and every transition is audited.</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SOL-R16 | Day 16 / SOL-R16</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Day16_SourceLocked_5W1H_Architecture.pptx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Runnable local source code is provided in the ZIP and mapped in the master workbook. See source path in the applied-module section below.</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MCP host ↔ MCP client ↔ tool server; A2A → agent peers → telemetry</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Deployment, Evaluation &amp; Observability  | Observability: Understanding System Insights — Logs / Metrics / Traces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Observability: Issue Detection; Debugging; System Optimization; Security/Compliance</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Integration Best Practices with CI/CD and Developer Workflows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Evaluation — System Metrics, Task Completion, Quality Control, Tool Interaction Metrics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Evaluation — LLM/Agents as Judge</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Development Issues — Poorly Defined Prompts, etc.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LLM Issues — High Cost of Running; Planning/Reasoning/Tool Calling Failures</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ReconAI activity</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MCP/A2A applied architecture (revisit Days 13–14)</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Deployment, Evaluation &amp; Observability | Observability: Understanding System Insights — Logs / Metrics / Traces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S076, S077</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protocol and trace assignment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MCP/A2A role/message lab + new observability</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S095, S096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Observability: Issue Detection; Debugging; System Optimization; Security/Compliance</w:t>
            </w:r>
          </w:p>
          <w:p>
            <w:pPr>
              <w:spacing w:after="20"/>
            </w:pPr>
            <w:r>
              <w:rPr>
                <w:rFonts w:ascii="Arial" w:cs="Arial" w:eastAsia="Arial" w:hAnsi="Arial"/>
                <w:sz w:val="15"/>
                <w:szCs w:val="15"/>
              </w:rPr>
              <w:t xml:space="preserve">Integration Best Practices with CI/CD and Developer Workflows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S078, S079, S080</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protocol and trace assignment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Operational observability and CI/CD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S097, S098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Evaluation — System Metrics, Task Completion, Quality Control, Tool Interaction Metrics</w:t>
            </w:r>
          </w:p>
          <w:p>
            <w:pPr>
              <w:spacing w:after="20"/>
            </w:pPr>
            <w:r>
              <w:rPr>
                <w:rFonts w:ascii="Arial" w:cs="Arial" w:eastAsia="Arial" w:hAnsi="Arial"/>
                <w:sz w:val="15"/>
                <w:szCs w:val="15"/>
              </w:rPr>
              <w:t xml:space="preserve">Evaluation — LLM/Agents as Judge</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S081, S082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protocol and trace assignment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Operational evaluation and development failure modes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S099, S100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Development Issues — Poorly Defined Prompts, etc.</w:t>
            </w:r>
          </w:p>
          <w:p>
            <w:pPr>
              <w:spacing w:after="20"/>
            </w:pPr>
            <w:r>
              <w:rPr>
                <w:rFonts w:ascii="Arial" w:cs="Arial" w:eastAsia="Arial" w:hAnsi="Arial"/>
                <w:sz w:val="15"/>
                <w:szCs w:val="15"/>
              </w:rPr>
              <w:t xml:space="preserve">LLM Issues — High Cost of Running; Planning/Reasoning/Tool Calling Failures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S083, S084, S085</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Specify typed MCP tool boundary and A2A message trace; instrument event/log evidence.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6" descr="Day 16 workflow for ReconAI" title="Day 16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S094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logs, metrics and traces for the recon flow.</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Integration across agents and tools is only governable if it is observable.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Telemetry spec</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S095, S096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Specify the typed MCP tool boundary and A2A message trace; add CI checks.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Typed contracts enforced in CI stop silent schema drift between components.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MCP/A2A contract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S097, S098</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task and tool-interaction metrics.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Task and tool metrics show whether the integrated system is reliable.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Metric set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S099, S100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Instrument event/log evidence and catalogue failure modes.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Instrumented evidence supports audit, debugging and incident review.</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integration trace + contract tests</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Define logs, metrics and traces for the recon flow.</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S094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Define events, metrics and trace spans for ingest → match → explain → review; propagate correlation_id across every hop.</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Integration across agents and tools is only governable if it is observable.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Telemetry spec</w:t>
      </w:r>
    </w:p>
    <w:p>
      <w:pPr>
        <w:spacing w:after="60" w:before="120"/>
      </w:pPr>
      <w:r>
        <w:rPr>
          <w:rFonts w:ascii="Arial" w:cs="Arial" w:eastAsia="Arial" w:hAnsi="Arial"/>
          <w:b/>
          <w:bCs/>
          <w:color w:val="17365D"/>
          <w:sz w:val="20"/>
          <w:szCs w:val="20"/>
        </w:rPr>
        <w:t xml:space="preserve">Step 2 – Specify the typed MCP tool boundary and A2A message trace; add CI checks.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S095, S096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Write typed schemas for MCP tools and A2A messages; add a CI contract test that fails on schema drift.</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Typed contracts enforced in CI stop silent schema drift between components.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MCP/A2A contract</w:t>
      </w:r>
    </w:p>
    <w:p>
      <w:pPr>
        <w:spacing w:after="60" w:before="120"/>
      </w:pPr>
      <w:r>
        <w:rPr>
          <w:rFonts w:ascii="Arial" w:cs="Arial" w:eastAsia="Arial" w:hAnsi="Arial"/>
          <w:b/>
          <w:bCs/>
          <w:color w:val="17365D"/>
          <w:sz w:val="20"/>
          <w:szCs w:val="20"/>
        </w:rPr>
        <w:t xml:space="preserve">Step 3 – Define task and tool-interaction metrics.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S097, S098</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Define exception-closure rate, tool-call success rate, judge score and time-to-review, each with a target.</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Task and tool metrics show whether the integrated system is reliable.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Metric set</w:t>
      </w:r>
    </w:p>
    <w:p>
      <w:pPr>
        <w:spacing w:after="60" w:before="120"/>
      </w:pPr>
      <w:r>
        <w:rPr>
          <w:rFonts w:ascii="Arial" w:cs="Arial" w:eastAsia="Arial" w:hAnsi="Arial"/>
          <w:b/>
          <w:bCs/>
          <w:color w:val="17365D"/>
          <w:sz w:val="20"/>
          <w:szCs w:val="20"/>
        </w:rPr>
        <w:t xml:space="preserve">Step 4 – Instrument event/log evidence and catalogue failure modes.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S099, S100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Instrument the flow; capture a full trace; list failure modes (poor prompts, cost spikes, tool-call failures) and the signal that detects each.</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Instrumented evidence supports audit, debugging and incident review.</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Recon integration trace + contract tests</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Recon role contracts, sample exception queue and reviewer workflow</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Telemetry → Typed MCP boundary → Metrics + judge → Instrument evidence</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Recon integration trace and contract tests</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Recon integration trace and contract tests.</w:t>
      </w:r>
    </w:p>
    <w:p>
      <w:pPr>
        <w:pStyle w:val="ListParagraph"/>
        <w:numPr>
          <w:ilvl w:val="0"/>
          <w:numId w:val="2"/>
        </w:numPr>
        <w:spacing w:after="60"/>
      </w:pPr>
      <w:r>
        <w:rPr>
          <w:rFonts w:ascii="Arial" w:cs="Arial" w:eastAsia="Arial" w:hAnsi="Arial"/>
          <w:sz w:val="20"/>
          <w:szCs w:val="20"/>
        </w:rPr>
        <w:t xml:space="preserve">Contract tests fail on schema drift.</w:t>
      </w:r>
    </w:p>
    <w:p>
      <w:pPr>
        <w:pStyle w:val="ListParagraph"/>
        <w:numPr>
          <w:ilvl w:val="0"/>
          <w:numId w:val="2"/>
        </w:numPr>
        <w:spacing w:after="60"/>
      </w:pPr>
      <w:r>
        <w:rPr>
          <w:rFonts w:ascii="Arial" w:cs="Arial" w:eastAsia="Arial" w:hAnsi="Arial"/>
          <w:sz w:val="20"/>
          <w:szCs w:val="20"/>
        </w:rPr>
        <w:t xml:space="preserve">Trace spans all hops.</w:t>
      </w:r>
    </w:p>
    <w:p>
      <w:pPr>
        <w:pStyle w:val="ListParagraph"/>
        <w:numPr>
          <w:ilvl w:val="0"/>
          <w:numId w:val="2"/>
        </w:numPr>
        <w:spacing w:after="60"/>
      </w:pPr>
      <w:r>
        <w:rPr>
          <w:rFonts w:ascii="Arial" w:cs="Arial" w:eastAsia="Arial" w:hAnsi="Arial"/>
          <w:sz w:val="20"/>
          <w:szCs w:val="20"/>
        </w:rPr>
        <w:t xml:space="preserve">Every step traces to its hourly block and source IDs (S094, S095, S096, S097, S098, S099, S100);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Recon integration trace and contract tests becomes an explicit input for Day 17 — ReconAI: golden tests and controlled release (Day 17 input: Recon prompt, reviewer flow and approved golden records).</w:t>
      </w:r>
    </w:p>
    <w:p>
      <w:pPr>
        <w:pStyle w:val="Heading2"/>
        <w:pageBreakBefore/>
      </w:pPr>
      <w:r>
        <w:rPr>
          <w:rFonts w:ascii="Arial" w:cs="Arial" w:eastAsia="Arial" w:hAnsi="Arial"/>
        </w:rPr>
        <w:t xml:space="preserve">Day 17: ADK + Production controls – golden tests and controlled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0.75h concept + 3.25h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Instructor emphasis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ADK + Production controls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Deployment, Evaluation &amp; Observability | AI Validation/ Testing | Batch Backfill/Replay &amp; Stream Recovery — Idempotency, Duplicate Handling &amp; Failure Recovery</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S101, S102, S103, S104, S105, S106, S107, S108, S109</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S086, S087, S088, S089, S090, S091, S092, S093</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Recon prompt, reviewer flow and approved golden records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Add prompt/chain unit test, regression cases and observability/rollback checklist.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Recon regression evidence and rollback plan</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The deterministic matcher decides match status. ReconAI may investigate exceptions, link SOP evidence and draft non-authoritative narratives. Dispositions, adjustments, write-offs and ledger postings are made only by reconciliation analysts/reviewers, and every transition is audited.</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SOL-R17 | Day 17 / SOL-R17</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Day17_SourceLocked_5W1H_Architecture.pptx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Runnable local source code is provided in the ZIP and mapped in the master workbook. See source path in the applied-module section below.</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ADK candidate → Eval → Guardrails → CI gate → Canary/rollback</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Production Issues — Guardrails, Agent Scaling, Infinite Looping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Productionalization Challenges &amp; Best Practices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Model Production Readiness: Latency, Cost, Reliability</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Governance: Audit Trails, Explainability, Compliance Standards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Scaling Approaches: Containerization, Serverless vs On-Prem Deployments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Guardrails in Production: Structured Outputs, Fallbacks, Circuit Breakers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Versioning, Rollback, and Feature Flags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AI Validation/ Testing  | *Unit Testing LLM Prompts &amp; Chains*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*Regression Testing for Prompt/Model Changes*</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ReconAI activity</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Google ADK + tuning evaluation revisit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S101, S102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Production Issues — Guardrails, Agent Scaling, Infinite Looping</w:t>
            </w:r>
          </w:p>
          <w:p>
            <w:pPr>
              <w:spacing w:after="20"/>
            </w:pPr>
            <w:r>
              <w:rPr>
                <w:rFonts w:ascii="Arial" w:cs="Arial" w:eastAsia="Arial" w:hAnsi="Arial"/>
                <w:sz w:val="15"/>
                <w:szCs w:val="15"/>
              </w:rPr>
              <w:t xml:space="preserve">Productionalization Challenges &amp; Best Practices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S086, S087</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golden tests and controlled release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Production issue patterns and guardrails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S103, S104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Model Production Readiness: Latency, Cost, Reliability</w:t>
            </w:r>
          </w:p>
          <w:p>
            <w:pPr>
              <w:spacing w:after="20"/>
            </w:pPr>
            <w:r>
              <w:rPr>
                <w:rFonts w:ascii="Arial" w:cs="Arial" w:eastAsia="Arial" w:hAnsi="Arial"/>
                <w:sz w:val="15"/>
                <w:szCs w:val="15"/>
              </w:rPr>
              <w:t xml:space="preserve">Governance: Audit Trails, Explainability, Compliance Standards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S088, S089</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golden tests and controlled release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Production readiness / governance / scaling</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S105, S106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Scaling Approaches: Containerization, Serverless vs On-Prem Deployments</w:t>
            </w:r>
          </w:p>
          <w:p>
            <w:pPr>
              <w:spacing w:after="20"/>
            </w:pPr>
            <w:r>
              <w:rPr>
                <w:rFonts w:ascii="Arial" w:cs="Arial" w:eastAsia="Arial" w:hAnsi="Arial"/>
                <w:sz w:val="15"/>
                <w:szCs w:val="15"/>
              </w:rPr>
              <w:t xml:space="preserve">Guardrails in Production: Structured Outputs, Fallbacks, Circuit Breakers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S090, S091</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golden tests and controlled release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Validation basics and release acceptance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S107, S108, S109</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Versioning, Rollback, and Feature Flags</w:t>
            </w:r>
          </w:p>
          <w:p>
            <w:pPr>
              <w:spacing w:after="20"/>
            </w:pPr>
            <w:r>
              <w:rPr>
                <w:rFonts w:ascii="Arial" w:cs="Arial" w:eastAsia="Arial" w:hAnsi="Arial"/>
                <w:sz w:val="15"/>
                <w:szCs w:val="15"/>
              </w:rPr>
              <w:t xml:space="preserve">AI Validation/ Testing | *Unit Testing LLM Prompts &amp; Chains*</w:t>
            </w:r>
          </w:p>
          <w:p>
            <w:pPr>
              <w:spacing w:after="20"/>
            </w:pPr>
            <w:r>
              <w:rPr>
                <w:rFonts w:ascii="Arial" w:cs="Arial" w:eastAsia="Arial" w:hAnsi="Arial"/>
                <w:sz w:val="15"/>
                <w:szCs w:val="15"/>
              </w:rPr>
              <w:t xml:space="preserve">*Regression Testing for Prompt/Model Changes*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S092, S093</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Add prompt/chain unit test, regression cases and observability/rollback checklist.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7" descr="Day 17 workflow for ReconAI" title="Day 17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S101, S102</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Review guardrails, scaling and looping issues for ReconAI.</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Known production risks must be rated before a release decision.</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Issue list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S103, S104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Measure latency and cost; confirm audit trail.</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Release requires measured latency, cost and complete audit evidence.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Readiness metrics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S105, S106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Add structured outputs, fallbacks and circuit breakers.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When the model or tools fail, work must fall back safely to the manual queue.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Hardening controls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S107, S108, S109</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Add prompt/chain unit tests, regression cases, observability and rollback checklist.</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Unit and regression tests stop silent behaviour changes; rollback limits damage.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regression evidence + rollback plan</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Review guardrails, scaling and looping issues for ReconAI.</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S101, S102</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List guardrail, scaling and looping risks for daily batch volumes; rate each.</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Known production risks must be rated before a release decision.</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Issue list</w:t>
      </w:r>
    </w:p>
    <w:p>
      <w:pPr>
        <w:spacing w:after="60" w:before="120"/>
      </w:pPr>
      <w:r>
        <w:rPr>
          <w:rFonts w:ascii="Arial" w:cs="Arial" w:eastAsia="Arial" w:hAnsi="Arial"/>
          <w:b/>
          <w:bCs/>
          <w:color w:val="17365D"/>
          <w:sz w:val="20"/>
          <w:szCs w:val="20"/>
        </w:rPr>
        <w:t xml:space="preserve">Step 2 – Measure latency and cost; confirm audit trail.</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S103, S104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Measure p95 latency and cost per exception; confirm every disposition has an audit record.</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Release requires measured latency, cost and complete audit evidence.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Readiness metrics</w:t>
      </w:r>
    </w:p>
    <w:p>
      <w:pPr>
        <w:spacing w:after="60" w:before="120"/>
      </w:pPr>
      <w:r>
        <w:rPr>
          <w:rFonts w:ascii="Arial" w:cs="Arial" w:eastAsia="Arial" w:hAnsi="Arial"/>
          <w:b/>
          <w:bCs/>
          <w:color w:val="17365D"/>
          <w:sz w:val="20"/>
          <w:szCs w:val="20"/>
        </w:rPr>
        <w:t xml:space="preserve">Step 3 – Add structured outputs, fallbacks and circuit breakers.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S105, S106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Validate outputs against the schema; on model or tool failure fall back to the manual queue; open a circuit breaker after repeated failures.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When the model or tools fail, work must fall back safely to the manual queue.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Hardening controls</w:t>
      </w:r>
    </w:p>
    <w:p>
      <w:pPr>
        <w:spacing w:after="60" w:before="120"/>
      </w:pPr>
      <w:r>
        <w:rPr>
          <w:rFonts w:ascii="Arial" w:cs="Arial" w:eastAsia="Arial" w:hAnsi="Arial"/>
          <w:b/>
          <w:bCs/>
          <w:color w:val="17365D"/>
          <w:sz w:val="20"/>
          <w:szCs w:val="20"/>
        </w:rPr>
        <w:t xml:space="preserve">Step 4 – Add prompt/chain unit tests, regression cases, observability and rollback checklist.</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S107, S108, S109</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Write unit tests for prompts and chain steps; add Day 4 regression cases to CI; write rollback steps with trigger and owner.</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Unit and regression tests stop silent behaviour changes; rollback limits damage.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Recon regression evidence + rollback plan</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Recon prompt, reviewer flow and approved golden records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Production issues → Readiness + governance → Guardrails → Tests + rollback</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Recon regression evidence and rollback plan</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Recon regression evidence and rollback plan.</w:t>
      </w:r>
    </w:p>
    <w:p>
      <w:pPr>
        <w:pStyle w:val="ListParagraph"/>
        <w:numPr>
          <w:ilvl w:val="0"/>
          <w:numId w:val="2"/>
        </w:numPr>
        <w:spacing w:after="60"/>
      </w:pPr>
      <w:r>
        <w:rPr>
          <w:rFonts w:ascii="Arial" w:cs="Arial" w:eastAsia="Arial" w:hAnsi="Arial"/>
          <w:sz w:val="20"/>
          <w:szCs w:val="20"/>
        </w:rPr>
        <w:t xml:space="preserve">Regression suite passes in CI.</w:t>
      </w:r>
    </w:p>
    <w:p>
      <w:pPr>
        <w:pStyle w:val="ListParagraph"/>
        <w:numPr>
          <w:ilvl w:val="0"/>
          <w:numId w:val="2"/>
        </w:numPr>
        <w:spacing w:after="60"/>
      </w:pPr>
      <w:r>
        <w:rPr>
          <w:rFonts w:ascii="Arial" w:cs="Arial" w:eastAsia="Arial" w:hAnsi="Arial"/>
          <w:sz w:val="20"/>
          <w:szCs w:val="20"/>
        </w:rPr>
        <w:t xml:space="preserve">Rollback plan names trigger and owner.</w:t>
      </w:r>
    </w:p>
    <w:p>
      <w:pPr>
        <w:pStyle w:val="ListParagraph"/>
        <w:numPr>
          <w:ilvl w:val="0"/>
          <w:numId w:val="2"/>
        </w:numPr>
        <w:spacing w:after="60"/>
      </w:pPr>
      <w:r>
        <w:rPr>
          <w:rFonts w:ascii="Arial" w:cs="Arial" w:eastAsia="Arial" w:hAnsi="Arial"/>
          <w:sz w:val="20"/>
          <w:szCs w:val="20"/>
        </w:rPr>
        <w:t xml:space="preserve">Every step traces to its hourly block and source IDs (S101, S102, S103, S104, S105, S106, S107, S108, S109);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Recon regression evidence and rollback plan becomes an explicit input for Day 18 — ReconAI: complete assignment sign-off (Day 18 input: Recon test suite, traces and evidence pack).</w:t>
      </w:r>
    </w:p>
    <w:p>
      <w:pPr>
        <w:pStyle w:val="Heading2"/>
        <w:pageBreakBefore/>
      </w:pPr>
      <w:r>
        <w:rPr>
          <w:rFonts w:ascii="Arial" w:cs="Arial" w:eastAsia="Arial" w:hAnsi="Arial"/>
        </w:rPr>
        <w:t xml:space="preserve">Day 18: Testing + Gemini deployment – complete assignment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0.75h concept + 3.25h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Instructor emphasis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Testing + Gemini deployment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AI Validation/ Testing | Gemini Enterprise Deployment | Batch/Stream Production Readiness — Cutover, Rollback, Governance &amp; Release Validation</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S110, S111, S112, S113, S114, S115</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S094, S095, S096, S097, S098, S099, S100, S101, S102, S103, S104, S105, S106, S107</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Recon test suite, traces and evidence pack</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Evaluate against gold set, document shadow rollout and record sign-off criteria.</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Final assignment report and reviewer sign-off</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The deterministic matcher decides match status. ReconAI may investigate exceptions, link SOP evidence and draft non-authoritative narratives. Dispositions, adjustments, write-offs and ledger postings are made only by reconciliation analysts/reviewers, and every transition is audited.</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SOL-R18 | Day 18 / SOL-R18</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Day18_SourceLocked_5W1H_Architecture.pptx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Runnable local source code is provided in the ZIP and mapped in the master workbook. See source path in the applied-module section below.</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Code → CI tests → Shadow → Deploy gate → Observability → Governance</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S110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*Red-Teaming &amp; Adversarial Test Suites*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S111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*Golden Dataset Creation for Agent/RAG Validation*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S112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*A/B Testing &amp; Shadow Deployment for Model Changes*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S113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Gemini Enterprise Deployment  | *Prepare and Deliver Gemini Enterprise Deployments*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S114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*Govern, Secure, and Scale the Agent Ecosystem*</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S115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*Drive Impact with Agents using Gemini Enterprise*</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ReconAI activity</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Red-teaming and golden datasets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*Red-Teaming &amp; Adversarial Test Suites*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S094, S095, S096</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complete assignment sign-off</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Shadow release and Gemini deployment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S111, S112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*Golden Dataset Creation for Agent/RAG Validation*</w:t>
            </w:r>
          </w:p>
          <w:p>
            <w:pPr>
              <w:spacing w:after="20"/>
            </w:pPr>
            <w:r>
              <w:rPr>
                <w:rFonts w:ascii="Arial" w:cs="Arial" w:eastAsia="Arial" w:hAnsi="Arial"/>
                <w:sz w:val="15"/>
                <w:szCs w:val="15"/>
              </w:rPr>
              <w:t xml:space="preserve">*A/B Testing &amp; Shadow Deployment for Model Changes*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S097, S098, S099, S100</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complete assignment sign-off</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Production telemetry and failure lab (revisit)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Gemini Enterprise Deployment | *Prepare and Deliver Gemini Enterprise Deployments*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S101, S102, S103</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complete assignment sign-off</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Integrated evidence review, readiness and capstone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S114, S115</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*Govern, Secure, and Scale the Agent Ecosystem*</w:t>
            </w:r>
          </w:p>
          <w:p>
            <w:pPr>
              <w:spacing w:after="20"/>
            </w:pPr>
            <w:r>
              <w:rPr>
                <w:rFonts w:ascii="Arial" w:cs="Arial" w:eastAsia="Arial" w:hAnsi="Arial"/>
                <w:sz w:val="15"/>
                <w:szCs w:val="15"/>
              </w:rPr>
              <w:t xml:space="preserve">*Drive Impact with Agents using Gemini Enterprise*</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S104, S105, S106, S107</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Evaluate against gold set, document shadow rollout and record sign-off criteria.</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8" descr="Day 18 workflow for ReconAI" title="Day 18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S110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Run adversarial tests on ReconAI.</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Final adversarial testing validates security before sign-off.</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Red-team results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S111, S112</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Evaluate against the gold set and document shadow rollout.</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Gold-set scores and shadow comparison prove quality without ledger impact.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Gold-set results + shadow plan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S113</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Record deployment assumptions for Gemini Enterprise.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Deployment depends on access and environment assumptions that must be explicit.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Deployment note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S114, S115</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Record sign-off criteria and compile the final report.</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Sign-off criteria and linked evidence complete the assignment objectively.</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Final assignment report + reviewer sign-off</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Run adversarial tests on ReconAI.</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S110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Run injection, manipulation and data-exfiltration tests; record findings, severity and fixes.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Final adversarial testing validates security before sign-off.</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Red-team results</w:t>
      </w:r>
    </w:p>
    <w:p>
      <w:pPr>
        <w:spacing w:after="60" w:before="120"/>
      </w:pPr>
      <w:r>
        <w:rPr>
          <w:rFonts w:ascii="Arial" w:cs="Arial" w:eastAsia="Arial" w:hAnsi="Arial"/>
          <w:b/>
          <w:bCs/>
          <w:color w:val="17365D"/>
          <w:sz w:val="20"/>
          <w:szCs w:val="20"/>
        </w:rPr>
        <w:t xml:space="preserve">Step 2 – Evaluate against the gold set and document shadow rollout.</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S111, S112</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Score the release candidate on the gold set; define shadow rollout (compare drafts with analyst outcomes, no customer or ledger impact) and promotion criteria.</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Gold-set scores and shadow comparison prove quality without ledger impact.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Gold-set results + shadow plan</w:t>
      </w:r>
    </w:p>
    <w:p>
      <w:pPr>
        <w:spacing w:after="60" w:before="120"/>
      </w:pPr>
      <w:r>
        <w:rPr>
          <w:rFonts w:ascii="Arial" w:cs="Arial" w:eastAsia="Arial" w:hAnsi="Arial"/>
          <w:b/>
          <w:bCs/>
          <w:color w:val="17365D"/>
          <w:sz w:val="20"/>
          <w:szCs w:val="20"/>
        </w:rPr>
        <w:t xml:space="preserve">Step 3 – Record deployment assumptions for Gemini Enterprise.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S113</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List environment, identity and data-connection assumptions for a Gemini Enterprise deployment.</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Deployment depends on access and environment assumptions that must be explicit.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Deployment note</w:t>
      </w:r>
    </w:p>
    <w:p>
      <w:pPr>
        <w:spacing w:after="60" w:before="120"/>
      </w:pPr>
      <w:r>
        <w:rPr>
          <w:rFonts w:ascii="Arial" w:cs="Arial" w:eastAsia="Arial" w:hAnsi="Arial"/>
          <w:b/>
          <w:bCs/>
          <w:color w:val="17365D"/>
          <w:sz w:val="20"/>
          <w:szCs w:val="20"/>
        </w:rPr>
        <w:t xml:space="preserve">Step 4 – Record sign-off criteria and compile the final report.</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S114, S115</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Compile the final report linking all Day 1–17 evidence; list sign-off criteria and record the reviewer decision.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Sign-off criteria and linked evidence complete the assignment objectively.</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Final assignment report + reviewer sign-off</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Recon test suite, traces and evidence pack</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Adversarial suite → Gold set + shadow → Deployment readiness → Sign-off</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Final assignment report and reviewer sign-off</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Final assignment report and reviewer sign-off.</w:t>
      </w:r>
    </w:p>
    <w:p>
      <w:pPr>
        <w:pStyle w:val="ListParagraph"/>
        <w:numPr>
          <w:ilvl w:val="0"/>
          <w:numId w:val="2"/>
        </w:numPr>
        <w:spacing w:after="60"/>
      </w:pPr>
      <w:r>
        <w:rPr>
          <w:rFonts w:ascii="Arial" w:cs="Arial" w:eastAsia="Arial" w:hAnsi="Arial"/>
          <w:sz w:val="20"/>
          <w:szCs w:val="20"/>
        </w:rPr>
        <w:t xml:space="preserve">Sign-off criteria are met or gaps are listed.</w:t>
      </w:r>
    </w:p>
    <w:p>
      <w:pPr>
        <w:pStyle w:val="ListParagraph"/>
        <w:numPr>
          <w:ilvl w:val="0"/>
          <w:numId w:val="2"/>
        </w:numPr>
        <w:spacing w:after="60"/>
      </w:pPr>
      <w:r>
        <w:rPr>
          <w:rFonts w:ascii="Arial" w:cs="Arial" w:eastAsia="Arial" w:hAnsi="Arial"/>
          <w:sz w:val="20"/>
          <w:szCs w:val="20"/>
        </w:rPr>
        <w:t xml:space="preserve">The report links to all prior evidence.</w:t>
      </w:r>
    </w:p>
    <w:p>
      <w:pPr>
        <w:pStyle w:val="ListParagraph"/>
        <w:numPr>
          <w:ilvl w:val="0"/>
          <w:numId w:val="2"/>
        </w:numPr>
        <w:spacing w:after="60"/>
      </w:pPr>
      <w:r>
        <w:rPr>
          <w:rFonts w:ascii="Arial" w:cs="Arial" w:eastAsia="Arial" w:hAnsi="Arial"/>
          <w:sz w:val="20"/>
          <w:szCs w:val="20"/>
        </w:rPr>
        <w:t xml:space="preserve">Every step traces to its hourly block and source IDs (S110, S111, S112, S113, S114, S115);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Final assignment report and reviewer sign-off is the final evidence for the ReconAI assignment sign-off.</w:t>
      </w:r>
    </w:p>
    <w:p>
      <w:pPr>
        <w:pStyle w:val="Heading1"/>
        <w:pageBreakBefore/>
      </w:pPr>
      <w:r>
        <w:rPr>
          <w:rFonts w:ascii="Arial" w:cs="Arial" w:eastAsia="Arial" w:hAnsi="Arial"/>
        </w:rPr>
        <w:t xml:space="preserve">5.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3700"/>
        <w:gridCol w:w="820"/>
        <w:gridCol w:w="900"/>
        <w:gridCol w:w="760"/>
        <w:gridCol w:w="700"/>
        <w:gridCol w:w="1080"/>
      </w:tblGrid>
      <w:tr>
        <w:trPr>
          <w:tblHeader/>
        </w:trPr>
        <w:tc>
          <w:tcPr>
            <w:tcW w:type="dxa" w:w="5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Day</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Map ID</w:t>
            </w:r>
          </w:p>
        </w:tc>
        <w:tc>
          <w:tcPr>
            <w:tcW w:type="dxa" w:w="37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Required output</w:t>
            </w:r>
          </w:p>
        </w:tc>
        <w:tc>
          <w:tcPr>
            <w:tcW w:type="dxa" w:w="82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Hourly</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Diagram</w:t>
            </w:r>
          </w:p>
        </w:tc>
        <w:tc>
          <w:tcPr>
            <w:tcW w:type="dxa" w:w="7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Steps</w:t>
            </w:r>
          </w:p>
        </w:tc>
        <w:tc>
          <w:tcPr>
            <w:tcW w:type="dxa" w:w="7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w:t>
            </w:r>
          </w:p>
        </w:tc>
        <w:tc>
          <w:tcPr>
            <w:tcW w:type="dxa" w:w="10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Evidence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SOL-R01</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schema manifest and control-total report</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SOL-R02</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Two reviewed exception examples</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SOL-R03</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prompt library v1 and test matrix</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SOL-R04</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JSON contract and prompt regression cases</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SOL-R05</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vector-data plan</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6</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SOL-R06</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Chain implementation brief</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7</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SOL-R07</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evidence-backed retrieval examples</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8</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SOL-R08</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retrieval evaluation pack</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9</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SOL-R09</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 role and action policy</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10</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SOL-R10</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Controlled exception investigation trace</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11</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SOL-R11</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Reviewer state transitions and evidence log</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SOL-R12</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graph and sample execution trace</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13</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SOL-R13</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Boundary diagram and message examples</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14</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SOL-R14</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agent design and approval checklist</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15</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SOL-R15</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evaluation notes and tuning recommendation</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16</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SOL-R16</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integration trace and contract tests</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17</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SOL-R17</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regression evidence and rollback plan</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18</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SOL-R18</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Final assignment report and reviewer sign-off</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bl>
    <w:p>
      <w:pPr>
        <w:pStyle w:val="Heading1"/>
        <w:pageBreakBefore/>
      </w:pPr>
      <w:r>
        <w:rPr>
          <w:rFonts w:ascii="Arial" w:cs="Arial" w:eastAsia="Arial" w:hAnsi="Arial"/>
        </w:rPr>
        <w:t xml:space="preserve">Appendix A. Source ID Traceability</w:t>
      </w:r>
    </w:p>
    <w:p>
      <w:pPr>
        <w:spacing w:after="100"/>
        <w:rPr>
          <w:sz w:val="20"/>
          <w:szCs w:val="20"/>
        </w:rPr>
      </w:pPr>
      <w:r>
        <w:rPr>
          <w:rFonts w:ascii="Arial" w:cs="Arial" w:eastAsia="Arial" w:hAnsi="Arial"/>
          <w:sz w:val="20"/>
          <w:szCs w:val="20"/>
        </w:rPr>
        <w:t xml:space="preserve">Each of the 114 source lines has exactly one primary day. The mapping below is copied from the workbook Coverage sheet and links each source ID to the day and mapping ID in this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1100"/>
        <w:gridCol w:w="6460"/>
      </w:tblGrid>
      <w:tr>
        <w:trPr>
          <w:tblHeader/>
        </w:trPr>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w:t>
            </w:r>
          </w:p>
        </w:tc>
        <w:tc>
          <w:tcPr>
            <w:tcW w:type="dxa" w:w="7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Day</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Map ID</w:t>
            </w:r>
          </w:p>
        </w:tc>
        <w:tc>
          <w:tcPr>
            <w:tcW w:type="dxa" w:w="64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topic</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Python for AI  | Python Basics &amp; Syntax</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Variables, Operators, Conditional Statements, Loops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Data Structures: Lists, Tuples, Sets, Dictionaries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*Functions, FAST API, File Handling &amp; Error Handling*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Gen AI &amp; Challenges  | AI vs ML vs GenAI</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Core Principles of GenAI</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Types of GenAI Models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How Generative Models Create Data; Key Challenges: Bias, Hallucination, Stochasticity</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Business and Technical Challenges in Deployment</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Guardrail Solutions: Bias Mitigation (balanced datasets, fairness metrics, post-processing)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Security Approaches (prompt injection defense, data anonymization, differential privacy)</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Guardrail Techniques (RLHF, Constitutional AI, red-teaming, moderation APIs)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Prompt Engineering  | Prompt Anatomy &amp; Context Types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Zero-shot, One-shot, Few-shot Prompting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Chain-of-Thought Prompting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Prompt Interventions &amp; Prompt Tuning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Adversarial Prompting &amp; Prompt Security</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Prompts for Agents &amp; ReAct-style Prompting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*Structured Output Prompting (JSON mode, schemas, function-call prompts)*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LLM/LRM/LMM  | LLMs vs LRMs vs LMMs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Transformers Architecture, Scaling Laws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Tokenization &amp; Embedding Techniques (Byte Pair Encoding)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Reasoning Tokens &amp; Inference Strategies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Max New Tokens, Sampling, Temperature, Top_K, Top_P</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LMMs: DALL-E, Imagen, Diffusion Models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Agentic Workflows – LangChain Essentials  | Introduction to LangChain Architecture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Model I/O &amp; Integration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Chains, Prompt Templates, Sequential Flows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Memory &amp; Context Handling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Tool/Agent Integration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Hands-on Workflow Creation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Retrieval-Augmented Generation (RAG)  | Introduction to RAG &amp; Its Importance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Vector Databases for RAG (FAISS, Chroma)</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Chunking Strategies in RAG Applications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Semantic Search vs. Exact Matching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RAG for Domain-Specific Applications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Optimizing RAG for Large-Scale AI Models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Real-Time Information Retrieval Using RAG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Challenges in RAG Implementation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Hybrid Search &amp; Multi-Query RAG Systems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Multi-modal RAG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Agentic RAG: using an agent to determine how to retrieve the most relevant information before answering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*RAG Evaluation (faithfulness, retrieval precision/recall)*</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Guidelines and Best Practices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9</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SOL-R09</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Demystifying Agentic AI  | Understanding Agentic vs. Non-Agentic AI Systems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9</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SOL-R09</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Overview of Autonomous Agents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9</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SOL-R09</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Agents vs. Models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9</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SOL-R09</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What is an LLM Agent — Role of LLMs in Autonomous Systems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9</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SOL-R09</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When (and When Not) to Use Agents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9</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SOL-R09</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Questions to Ask Before Considering an AI Agent</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SOL-R10</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ReAct Framework — Concept of Thought, Action, Input and Observation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SOL-R10</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Language-Action Agents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SOL-R10</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Agent Runtime — Orchestration Layer</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SOL-R10</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Tools — Function Calling / Extensions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SOL-R10</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Context, Harness &amp; Loop Engineering  | *Context Engineering vs Prompt Engineering — what's the difference*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SOL-R10</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*Context Window Management (system/developer/user context layering)*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SOL-R10</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*Long-context Windows vs RAG — when to use which*</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*Context Compaction &amp; Summarization Strategies*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*What is an Agent Harness — tools, memory, guardrails, execution environment*</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*Building a Custom Harness vs Using a Framework (LangChain/LangGraph)*</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*Sandboxing &amp; Permission Boundaries in Harnesses*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 Agent Loop — Perceive → Plan → Act → Observe*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*ReAct Loop vs Plan-and-Execute Loop*</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*Loop Termination Conditions &amp; Infinite-Loop Prevention*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*Human-in-the-Loop Checkpoints Inside the Loop*</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LangGraph/CrewAI/AutoGen – Advanced AI Agents  | Introduction to LangGraph, CrewAI, and AutoGen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Key Components of LangGraph (Nodes, Edges, States)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LangGraph/AutoGen for Autonomous LLM Applications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Real-Time Data Processing with LangGraph</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Building Stateful AI Systems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Advanced Orchestration Techniques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Building Multi-Actor Applications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Cycles and Branching; Memory/Persistence; Human in the Loop (HITL); Streaming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Guidelines and Best Practices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Architecting Agentic Systems – MCP &amp; A2A Protocols  | Principles of Agentic AI Application Design (Architecture level)</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MCP (Model Context Protocol) — MCP Server / Host / Client</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A2A (Agent-to-Agent Protocol)</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Multi-Agent Coordination Strategies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Architecting AI Workflows with Autonomous Agents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Designing Human-in-the-Loop Agentic Systems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Adaptive Agents for Dynamic Environments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Evaluating and Deploying Agents — LLMs as Judge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Ethical &amp; Regulatory Considerations in AI Agents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Guidelines and Best Practices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Gemini Enterprise Agent Development  | *Use Agents to Build Agents*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*Build and Deploy Agents with Agent Development Kit (ADK)*</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*Agent Evaluation and Hill Climbing*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LLM Fine-Tuning &amp; Evaluation  | Instruction vs Task-Specific Fine-Tuning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Parameter Efficient Tuning (LoRA, QLoRA, FLAN)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Avoiding Catastrophic Forgetting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Evaluation Metrics: ROUGE, BLEU, MMLU, BIG-Bench, GLUE, HELM</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Fine-tuning for Function Calling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Deployment, Evaluation &amp; Observability  | Observability: Understanding System Insights — Logs / Metrics / Traces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Observability: Issue Detection; Debugging; System Optimization; Security/Compliance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Integration Best Practices with CI/CD and Developer Workflows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Evaluation — System Metrics, Task Completion, Quality Control, Tool Interaction Metrics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Evaluation — LLM/Agents as Judge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Development Issues — Poorly Defined Prompts, etc.</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LLM Issues — High Cost of Running; Planning/Reasoning/Tool Calling Failures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Production Issues — Guardrails, Agent Scaling, Infinite Looping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Productionalization Challenges &amp; Best Practices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Model Production Readiness: Latency, Cost, Reliability</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Governance: Audit Trails, Explainability, Compliance Standards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Scaling Approaches: Containerization, Serverless vs On-Prem Deployments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Guardrails in Production: Structured Outputs, Fallbacks, Circuit Breakers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Versioning, Rollback, and Feature Flags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AI Validation/ Testing  | *Unit Testing LLM Prompts &amp; Chains*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*Regression Testing for Prompt/Model Changes*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*Red-Teaming &amp; Adversarial Test Suites*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*Golden Dataset Creation for Agent/RAG Validation*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*A/B Testing &amp; Shadow Deployment for Model Changes*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Gemini Enterprise Deployment  | *Prepare and Deliver Gemini Enterprise Deployments*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*Govern, Secure, and Scale the Agent Ecosystem*</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SOL-R18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*Drive Impact with Agents using Gemini Enterprise*</w:t>
            </w:r>
          </w:p>
        </w:tc>
      </w:tr>
    </w:tbl>
    <w:p>
      <w:r>
        <w:br w:type="page"/>
      </w:r>
    </w:p>
    <w:p>
      <w:pPr>
        <w:spacing w:before="160" w:after="80"/>
      </w:pPr>
      <w:r>
        <w:rPr>
          <w:b/>
          <w:color w:val="1F4E79"/>
          <w:sz w:val="32"/>
        </w:rPr>
        <w:t>Applied Streaming &amp; Batching Module — Detailed Implementation, Reasoning and Evidence</w:t>
      </w:r>
    </w:p>
    <w:p>
      <w:r>
        <w:rPr>
          <w:b/>
        </w:rPr>
        <w:t xml:space="preserve">Curriculum change note: </w:t>
      </w:r>
      <w:r>
        <w:t>The original source-locked modules remain intact. The following applied modules are explicit additions requested for implementation depth; they do not replace the original source IDs.</w:t>
      </w:r>
    </w:p>
    <w:p>
      <w:r>
        <w:rPr>
          <w:b/>
        </w:rPr>
        <w:t xml:space="preserve">How to use this section: </w:t>
      </w:r>
      <w:r>
        <w:t>For Days 13–18, follow each step in order. Do not mark a step complete only because code runs; retain the expected output and validation evidence. The same module names are present in the updated master Excel TOC.</w:t>
      </w:r>
    </w:p>
    <w:tbl>
      <w:tblPr>
        <w:tblW w:type="auto" w:w="0"/>
        <w:jc w:val="center"/>
        <w:tblLook w:firstColumn="1" w:firstRow="1" w:lastColumn="0" w:lastRow="0" w:noHBand="0" w:noVBand="1" w:val="04A0"/>
      </w:tblPr>
      <w:tblGrid>
        <w:gridCol w:w="2340"/>
        <w:gridCol w:w="2340"/>
        <w:gridCol w:w="2340"/>
        <w:gridCol w:w="2340"/>
      </w:tblGrid>
      <w:tr>
        <w:tc>
          <w:tcPr>
            <w:tcW w:type="dxa" w:w="2340"/>
            <w:vAlign w:val="top"/>
            <w:shd w:fill="17365D"/>
          </w:tcPr>
          <w:p>
            <w:r/>
            <w:r>
              <w:rPr>
                <w:b/>
                <w:color w:val="FFFFFF"/>
                <w:sz w:val="18"/>
              </w:rPr>
              <w:t>Day</w:t>
            </w:r>
          </w:p>
        </w:tc>
        <w:tc>
          <w:tcPr>
            <w:tcW w:type="dxa" w:w="2340"/>
            <w:vAlign w:val="top"/>
            <w:shd w:fill="17365D"/>
          </w:tcPr>
          <w:p>
            <w:r/>
            <w:r>
              <w:rPr>
                <w:b/>
                <w:color w:val="FFFFFF"/>
                <w:sz w:val="18"/>
              </w:rPr>
              <w:t>Added applied module</w:t>
            </w:r>
          </w:p>
        </w:tc>
        <w:tc>
          <w:tcPr>
            <w:tcW w:type="dxa" w:w="2340"/>
            <w:vAlign w:val="top"/>
            <w:shd w:fill="17365D"/>
          </w:tcPr>
          <w:p>
            <w:r/>
            <w:r>
              <w:rPr>
                <w:b/>
                <w:color w:val="FFFFFF"/>
                <w:sz w:val="18"/>
              </w:rPr>
              <w:t>Learning purpose</w:t>
            </w:r>
          </w:p>
        </w:tc>
        <w:tc>
          <w:tcPr>
            <w:tcW w:type="dxa" w:w="2340"/>
            <w:vAlign w:val="top"/>
            <w:shd w:fill="17365D"/>
          </w:tcPr>
          <w:p>
            <w:r/>
            <w:r>
              <w:rPr>
                <w:b/>
                <w:color w:val="FFFFFF"/>
                <w:sz w:val="18"/>
              </w:rPr>
              <w:t>Primary evidence</w:t>
            </w:r>
          </w:p>
        </w:tc>
      </w:tr>
      <w:tr>
        <w:tc>
          <w:tcPr>
            <w:tcW w:type="dxa" w:w="2340"/>
            <w:vAlign w:val="top"/>
          </w:tcPr>
          <w:p>
            <w:r/>
            <w:r>
              <w:rPr>
                <w:b w:val="0"/>
                <w:sz w:val="16"/>
              </w:rPr>
              <w:t>13</w:t>
            </w:r>
          </w:p>
        </w:tc>
        <w:tc>
          <w:tcPr>
            <w:tcW w:type="dxa" w:w="2340"/>
            <w:vAlign w:val="top"/>
          </w:tcPr>
          <w:p>
            <w:r/>
            <w:r>
              <w:rPr>
                <w:b w:val="0"/>
                <w:sz w:val="16"/>
              </w:rPr>
              <w:t>Applied Data Processing — Batch Fundamentals &amp; Streaming Fundamentals</w:t>
            </w:r>
          </w:p>
        </w:tc>
        <w:tc>
          <w:tcPr>
            <w:tcW w:type="dxa" w:w="2340"/>
            <w:vAlign w:val="top"/>
          </w:tcPr>
          <w:p>
            <w:r/>
            <w:r>
              <w:rPr>
                <w:b w:val="0"/>
                <w:sz w:val="16"/>
              </w:rPr>
              <w:t>Establish correct batch and stream mental models and a deterministic local baseline.</w:t>
            </w:r>
          </w:p>
        </w:tc>
        <w:tc>
          <w:tcPr>
            <w:tcW w:type="dxa" w:w="2340"/>
            <w:vAlign w:val="top"/>
          </w:tcPr>
          <w:p>
            <w:r/>
            <w:r>
              <w:rPr>
                <w:b w:val="0"/>
                <w:sz w:val="16"/>
              </w:rPr>
              <w:t>Batch controls + event trace + reconciliation</w:t>
            </w:r>
          </w:p>
        </w:tc>
      </w:tr>
      <w:tr>
        <w:tc>
          <w:tcPr>
            <w:tcW w:type="dxa" w:w="2340"/>
            <w:vAlign w:val="top"/>
          </w:tcPr>
          <w:p>
            <w:r/>
            <w:r>
              <w:rPr>
                <w:b w:val="0"/>
                <w:sz w:val="16"/>
              </w:rPr>
              <w:t>14</w:t>
            </w:r>
          </w:p>
        </w:tc>
        <w:tc>
          <w:tcPr>
            <w:tcW w:type="dxa" w:w="2340"/>
            <w:vAlign w:val="top"/>
          </w:tcPr>
          <w:p>
            <w:r/>
            <w:r>
              <w:rPr>
                <w:b w:val="0"/>
                <w:sz w:val="16"/>
              </w:rPr>
              <w:t>Cloud Batch &amp; Event-Streaming Architecture — Pub/Sub, Dataflow/Apache Beam &amp; BigQuery</w:t>
            </w:r>
          </w:p>
        </w:tc>
        <w:tc>
          <w:tcPr>
            <w:tcW w:type="dxa" w:w="2340"/>
            <w:vAlign w:val="top"/>
          </w:tcPr>
          <w:p>
            <w:r/>
            <w:r>
              <w:rPr>
                <w:b w:val="0"/>
                <w:sz w:val="16"/>
              </w:rPr>
              <w:t>Map the same business contracts to cloud-scale batch and event streaming.</w:t>
            </w:r>
          </w:p>
        </w:tc>
        <w:tc>
          <w:tcPr>
            <w:tcW w:type="dxa" w:w="2340"/>
            <w:vAlign w:val="top"/>
          </w:tcPr>
          <w:p>
            <w:r/>
            <w:r>
              <w:rPr>
                <w:b w:val="0"/>
                <w:sz w:val="16"/>
              </w:rPr>
              <w:t>Architecture + contracts + IAM/failure design</w:t>
            </w:r>
          </w:p>
        </w:tc>
      </w:tr>
      <w:tr>
        <w:tc>
          <w:tcPr>
            <w:tcW w:type="dxa" w:w="2340"/>
            <w:vAlign w:val="top"/>
          </w:tcPr>
          <w:p>
            <w:r/>
            <w:r>
              <w:rPr>
                <w:b w:val="0"/>
                <w:sz w:val="16"/>
              </w:rPr>
              <w:t>15</w:t>
            </w:r>
          </w:p>
        </w:tc>
        <w:tc>
          <w:tcPr>
            <w:tcW w:type="dxa" w:w="2340"/>
            <w:vAlign w:val="top"/>
          </w:tcPr>
          <w:p>
            <w:r/>
            <w:r>
              <w:rPr>
                <w:b w:val="0"/>
                <w:sz w:val="16"/>
              </w:rPr>
              <w:t>Batch Validation &amp; Publisher Batching — Event Time, Windows, Watermarks &amp; Late Data</w:t>
            </w:r>
          </w:p>
        </w:tc>
        <w:tc>
          <w:tcPr>
            <w:tcW w:type="dxa" w:w="2340"/>
            <w:vAlign w:val="top"/>
          </w:tcPr>
          <w:p>
            <w:r/>
            <w:r>
              <w:rPr>
                <w:b w:val="0"/>
                <w:sz w:val="16"/>
              </w:rPr>
              <w:t>Make behavior testable with golden data, publisher batching and event-time semantics.</w:t>
            </w:r>
          </w:p>
        </w:tc>
        <w:tc>
          <w:tcPr>
            <w:tcW w:type="dxa" w:w="2340"/>
            <w:vAlign w:val="top"/>
          </w:tcPr>
          <w:p>
            <w:r/>
            <w:r>
              <w:rPr>
                <w:b w:val="0"/>
                <w:sz w:val="16"/>
              </w:rPr>
              <w:t>Golden tests + timing/windowing evidence</w:t>
            </w:r>
          </w:p>
        </w:tc>
      </w:tr>
      <w:tr>
        <w:tc>
          <w:tcPr>
            <w:tcW w:type="dxa" w:w="2340"/>
            <w:vAlign w:val="top"/>
          </w:tcPr>
          <w:p>
            <w:r/>
            <w:r>
              <w:rPr>
                <w:b w:val="0"/>
                <w:sz w:val="16"/>
              </w:rPr>
              <w:t>16</w:t>
            </w:r>
          </w:p>
        </w:tc>
        <w:tc>
          <w:tcPr>
            <w:tcW w:type="dxa" w:w="2340"/>
            <w:vAlign w:val="top"/>
          </w:tcPr>
          <w:p>
            <w:r/>
            <w:r>
              <w:rPr>
                <w:b w:val="0"/>
                <w:sz w:val="16"/>
              </w:rPr>
              <w:t>Streaming Observability &amp; Delivery Semantics — Correlation, Acknowledgement &amp; Durable Processing</w:t>
            </w:r>
          </w:p>
        </w:tc>
        <w:tc>
          <w:tcPr>
            <w:tcW w:type="dxa" w:w="2340"/>
            <w:vAlign w:val="top"/>
          </w:tcPr>
          <w:p>
            <w:r/>
            <w:r>
              <w:rPr>
                <w:b w:val="0"/>
                <w:sz w:val="16"/>
              </w:rPr>
              <w:t>Make the pipeline observable and define safe delivery/acknowledgement semantics.</w:t>
            </w:r>
          </w:p>
        </w:tc>
        <w:tc>
          <w:tcPr>
            <w:tcW w:type="dxa" w:w="2340"/>
            <w:vAlign w:val="top"/>
          </w:tcPr>
          <w:p>
            <w:r/>
            <w:r>
              <w:rPr>
                <w:b w:val="0"/>
                <w:sz w:val="16"/>
              </w:rPr>
              <w:t>Logs/metrics/traces + ack evidence</w:t>
            </w:r>
          </w:p>
        </w:tc>
      </w:tr>
      <w:tr>
        <w:tc>
          <w:tcPr>
            <w:tcW w:type="dxa" w:w="2340"/>
            <w:vAlign w:val="top"/>
          </w:tcPr>
          <w:p>
            <w:r/>
            <w:r>
              <w:rPr>
                <w:b w:val="0"/>
                <w:sz w:val="16"/>
              </w:rPr>
              <w:t>17</w:t>
            </w:r>
          </w:p>
        </w:tc>
        <w:tc>
          <w:tcPr>
            <w:tcW w:type="dxa" w:w="2340"/>
            <w:vAlign w:val="top"/>
          </w:tcPr>
          <w:p>
            <w:r/>
            <w:r>
              <w:rPr>
                <w:b w:val="0"/>
                <w:sz w:val="16"/>
              </w:rPr>
              <w:t>Batch Backfill/Replay &amp; Stream Recovery — Idempotency, Duplicate Handling &amp; Failure Recovery</w:t>
            </w:r>
          </w:p>
        </w:tc>
        <w:tc>
          <w:tcPr>
            <w:tcW w:type="dxa" w:w="2340"/>
            <w:vAlign w:val="top"/>
          </w:tcPr>
          <w:p>
            <w:r/>
            <w:r>
              <w:rPr>
                <w:b w:val="0"/>
                <w:sz w:val="16"/>
              </w:rPr>
              <w:t>Prove replay, idempotency and recovery under realistic failure conditions.</w:t>
            </w:r>
          </w:p>
        </w:tc>
        <w:tc>
          <w:tcPr>
            <w:tcW w:type="dxa" w:w="2340"/>
            <w:vAlign w:val="top"/>
          </w:tcPr>
          <w:p>
            <w:r/>
            <w:r>
              <w:rPr>
                <w:b w:val="0"/>
                <w:sz w:val="16"/>
              </w:rPr>
              <w:t>Replay/idempotency/recovery evidence</w:t>
            </w:r>
          </w:p>
        </w:tc>
      </w:tr>
      <w:tr>
        <w:tc>
          <w:tcPr>
            <w:tcW w:type="dxa" w:w="2340"/>
            <w:vAlign w:val="top"/>
          </w:tcPr>
          <w:p>
            <w:r/>
            <w:r>
              <w:rPr>
                <w:b w:val="0"/>
                <w:sz w:val="16"/>
              </w:rPr>
              <w:t>18</w:t>
            </w:r>
          </w:p>
        </w:tc>
        <w:tc>
          <w:tcPr>
            <w:tcW w:type="dxa" w:w="2340"/>
            <w:vAlign w:val="top"/>
          </w:tcPr>
          <w:p>
            <w:r/>
            <w:r>
              <w:rPr>
                <w:b w:val="0"/>
                <w:sz w:val="16"/>
              </w:rPr>
              <w:t>Batch/Stream Production Readiness — Cutover, Rollback, Governance &amp; Release Validation</w:t>
            </w:r>
          </w:p>
        </w:tc>
        <w:tc>
          <w:tcPr>
            <w:tcW w:type="dxa" w:w="2340"/>
            <w:vAlign w:val="top"/>
          </w:tcPr>
          <w:p>
            <w:r/>
            <w:r>
              <w:rPr>
                <w:b w:val="0"/>
                <w:sz w:val="16"/>
              </w:rPr>
              <w:t>Combine functional, reliability, security and governance evidence for release readiness.</w:t>
            </w:r>
          </w:p>
        </w:tc>
        <w:tc>
          <w:tcPr>
            <w:tcW w:type="dxa" w:w="2340"/>
            <w:vAlign w:val="top"/>
          </w:tcPr>
          <w:p>
            <w:r/>
            <w:r>
              <w:rPr>
                <w:b w:val="0"/>
                <w:sz w:val="16"/>
              </w:rPr>
              <w:t>Acceptance matrix + cutover/rollback + sign-off</w:t>
            </w:r>
          </w:p>
        </w:tc>
      </w:tr>
    </w:tbl>
    <w:p>
      <w:pPr>
        <w:spacing w:before="160" w:after="80"/>
      </w:pPr>
      <w:r>
        <w:rPr>
          <w:b/>
          <w:color w:val="1F4E79"/>
          <w:sz w:val="26"/>
        </w:rPr>
        <w:t>Day 13 — Applied Data Processing — Batch Fundamentals &amp; Streaming Fundamentals</w:t>
      </w:r>
    </w:p>
    <w:p>
      <w:r>
        <w:rPr>
          <w:b/>
        </w:rPr>
        <w:t xml:space="preserve">Project context: </w:t>
      </w:r>
      <w:r>
        <w:t xml:space="preserve">ReconAI. </w:t>
      </w:r>
      <w:r>
        <w:rPr>
          <w:b/>
        </w:rPr>
        <w:t xml:space="preserve">Source code: </w:t>
      </w:r>
      <w:r>
        <w:t xml:space="preserve">04_SOURCE_CODE/src/projects/reconai/assignment_pipeline.py. </w:t>
      </w:r>
      <w:r>
        <w:rPr>
          <w:b/>
        </w:rPr>
        <w:t xml:space="preserve">Cloud mapping: </w:t>
      </w:r>
      <w:r>
        <w:t>Cloud Storage/BigQuery + Dataflow batch; Pub/Sub/Dataflow stream; BigQuery sink.</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top"/>
            <w:shd w:fill="2F75B5"/>
          </w:tcPr>
          <w:p>
            <w:r/>
            <w:r>
              <w:rPr>
                <w:b/>
                <w:color w:val="FFFFFF"/>
                <w:sz w:val="16"/>
              </w:rPr>
              <w:t>Step</w:t>
            </w:r>
          </w:p>
        </w:tc>
        <w:tc>
          <w:tcPr>
            <w:tcW w:type="dxa" w:w="1560"/>
            <w:vAlign w:val="top"/>
            <w:shd w:fill="2F75B5"/>
          </w:tcPr>
          <w:p>
            <w:r/>
            <w:r>
              <w:rPr>
                <w:b/>
                <w:color w:val="FFFFFF"/>
                <w:sz w:val="16"/>
              </w:rPr>
              <w:t>What to perform</w:t>
            </w:r>
          </w:p>
        </w:tc>
        <w:tc>
          <w:tcPr>
            <w:tcW w:type="dxa" w:w="1560"/>
            <w:vAlign w:val="top"/>
            <w:shd w:fill="2F75B5"/>
          </w:tcPr>
          <w:p>
            <w:r/>
            <w:r>
              <w:rPr>
                <w:b/>
                <w:color w:val="FFFFFF"/>
                <w:sz w:val="16"/>
              </w:rPr>
              <w:t>How to perform</w:t>
            </w:r>
          </w:p>
        </w:tc>
        <w:tc>
          <w:tcPr>
            <w:tcW w:type="dxa" w:w="1560"/>
            <w:vAlign w:val="top"/>
            <w:shd w:fill="2F75B5"/>
          </w:tcPr>
          <w:p>
            <w:r/>
            <w:r>
              <w:rPr>
                <w:b/>
                <w:color w:val="FFFFFF"/>
                <w:sz w:val="16"/>
              </w:rPr>
              <w:t>Why this step is required</w:t>
            </w:r>
          </w:p>
        </w:tc>
        <w:tc>
          <w:tcPr>
            <w:tcW w:type="dxa" w:w="1560"/>
            <w:vAlign w:val="top"/>
            <w:shd w:fill="2F75B5"/>
          </w:tcPr>
          <w:p>
            <w:r/>
            <w:r>
              <w:rPr>
                <w:b/>
                <w:color w:val="FFFFFF"/>
                <w:sz w:val="16"/>
              </w:rPr>
              <w:t>Expected output</w:t>
            </w:r>
          </w:p>
        </w:tc>
        <w:tc>
          <w:tcPr>
            <w:tcW w:type="dxa" w:w="1560"/>
            <w:vAlign w:val="top"/>
            <w:shd w:fill="2F75B5"/>
          </w:tcPr>
          <w:p>
            <w:r/>
            <w:r>
              <w:rPr>
                <w:b/>
                <w:color w:val="FFFFFF"/>
                <w:sz w:val="16"/>
              </w:rPr>
              <w:t>Validation / acceptance evidence</w:t>
            </w:r>
          </w:p>
        </w:tc>
      </w:tr>
      <w:tr>
        <w:tc>
          <w:tcPr>
            <w:tcW w:type="dxa" w:w="1560"/>
            <w:vAlign w:val="top"/>
          </w:tcPr>
          <w:p>
            <w:r/>
            <w:r>
              <w:rPr>
                <w:b w:val="0"/>
                <w:sz w:val="15"/>
              </w:rPr>
              <w:t>1</w:t>
            </w:r>
          </w:p>
        </w:tc>
        <w:tc>
          <w:tcPr>
            <w:tcW w:type="dxa" w:w="1560"/>
            <w:vAlign w:val="top"/>
          </w:tcPr>
          <w:p>
            <w:r/>
            <w:r>
              <w:rPr>
                <w:b w:val="0"/>
                <w:sz w:val="15"/>
              </w:rPr>
              <w:t>Freeze reconciliation batch inputs</w:t>
            </w:r>
          </w:p>
        </w:tc>
        <w:tc>
          <w:tcPr>
            <w:tcW w:type="dxa" w:w="1560"/>
            <w:vAlign w:val="top"/>
          </w:tcPr>
          <w:p>
            <w:r/>
            <w:r>
              <w:rPr>
                <w:b w:val="0"/>
                <w:sz w:val="15"/>
              </w:rPr>
              <w:t>Version ledger and settlement extracts; record counts, totals and run IDs.</w:t>
            </w:r>
          </w:p>
        </w:tc>
        <w:tc>
          <w:tcPr>
            <w:tcW w:type="dxa" w:w="1560"/>
            <w:vAlign w:val="top"/>
          </w:tcPr>
          <w:p>
            <w:r/>
            <w:r>
              <w:rPr>
                <w:b w:val="0"/>
                <w:sz w:val="15"/>
              </w:rPr>
              <w:t>Reconciliation must be reproducible against the exact source files used.</w:t>
            </w:r>
          </w:p>
        </w:tc>
        <w:tc>
          <w:tcPr>
            <w:tcW w:type="dxa" w:w="1560"/>
            <w:vAlign w:val="top"/>
          </w:tcPr>
          <w:p>
            <w:r/>
            <w:r>
              <w:rPr>
                <w:b w:val="0"/>
                <w:sz w:val="15"/>
              </w:rPr>
              <w:t>Batch manifest</w:t>
            </w:r>
          </w:p>
        </w:tc>
        <w:tc>
          <w:tcPr>
            <w:tcW w:type="dxa" w:w="1560"/>
            <w:vAlign w:val="top"/>
          </w:tcPr>
          <w:p>
            <w:r/>
            <w:r>
              <w:rPr>
                <w:b w:val="0"/>
                <w:sz w:val="15"/>
              </w:rPr>
              <w:t>Versions, counts and totals are captured.</w:t>
            </w:r>
          </w:p>
        </w:tc>
      </w:tr>
      <w:tr>
        <w:tc>
          <w:tcPr>
            <w:tcW w:type="dxa" w:w="1560"/>
            <w:vAlign w:val="top"/>
          </w:tcPr>
          <w:p>
            <w:r/>
            <w:r>
              <w:rPr>
                <w:b w:val="0"/>
                <w:sz w:val="15"/>
              </w:rPr>
              <w:t>2</w:t>
            </w:r>
          </w:p>
        </w:tc>
        <w:tc>
          <w:tcPr>
            <w:tcW w:type="dxa" w:w="1560"/>
            <w:vAlign w:val="top"/>
          </w:tcPr>
          <w:p>
            <w:r/>
            <w:r>
              <w:rPr>
                <w:b w:val="0"/>
                <w:sz w:val="15"/>
              </w:rPr>
              <w:t>Build indexes and duplicate quarantine</w:t>
            </w:r>
          </w:p>
        </w:tc>
        <w:tc>
          <w:tcPr>
            <w:tcW w:type="dxa" w:w="1560"/>
            <w:vAlign w:val="top"/>
          </w:tcPr>
          <w:p>
            <w:r/>
            <w:r>
              <w:rPr>
                <w:b w:val="0"/>
                <w:sz w:val="15"/>
              </w:rPr>
              <w:t>Index unique keys and quarantine duplicate settlement records before matching.</w:t>
            </w:r>
          </w:p>
        </w:tc>
        <w:tc>
          <w:tcPr>
            <w:tcW w:type="dxa" w:w="1560"/>
            <w:vAlign w:val="top"/>
          </w:tcPr>
          <w:p>
            <w:r/>
            <w:r>
              <w:rPr>
                <w:b w:val="0"/>
                <w:sz w:val="15"/>
              </w:rPr>
              <w:t>Duplicates can create false matches and false exceptions if not isolated first.</w:t>
            </w:r>
          </w:p>
        </w:tc>
        <w:tc>
          <w:tcPr>
            <w:tcW w:type="dxa" w:w="1560"/>
            <w:vAlign w:val="top"/>
          </w:tcPr>
          <w:p>
            <w:r/>
            <w:r>
              <w:rPr>
                <w:b w:val="0"/>
                <w:sz w:val="15"/>
              </w:rPr>
              <w:t>Indexes + quarantine</w:t>
            </w:r>
          </w:p>
        </w:tc>
        <w:tc>
          <w:tcPr>
            <w:tcW w:type="dxa" w:w="1560"/>
            <w:vAlign w:val="top"/>
          </w:tcPr>
          <w:p>
            <w:r/>
            <w:r>
              <w:rPr>
                <w:b w:val="0"/>
                <w:sz w:val="15"/>
              </w:rPr>
              <w:t>Duplicate fixture is isolated.</w:t>
            </w:r>
          </w:p>
        </w:tc>
      </w:tr>
      <w:tr>
        <w:tc>
          <w:tcPr>
            <w:tcW w:type="dxa" w:w="1560"/>
            <w:vAlign w:val="top"/>
          </w:tcPr>
          <w:p>
            <w:r/>
            <w:r>
              <w:rPr>
                <w:b w:val="0"/>
                <w:sz w:val="15"/>
              </w:rPr>
              <w:t>3</w:t>
            </w:r>
          </w:p>
        </w:tc>
        <w:tc>
          <w:tcPr>
            <w:tcW w:type="dxa" w:w="1560"/>
            <w:vAlign w:val="top"/>
          </w:tcPr>
          <w:p>
            <w:r/>
            <w:r>
              <w:rPr>
                <w:b w:val="0"/>
                <w:sz w:val="15"/>
              </w:rPr>
              <w:t>Classify outcomes deterministically</w:t>
            </w:r>
          </w:p>
        </w:tc>
        <w:tc>
          <w:tcPr>
            <w:tcW w:type="dxa" w:w="1560"/>
            <w:vAlign w:val="top"/>
          </w:tcPr>
          <w:p>
            <w:r/>
            <w:r>
              <w:rPr>
                <w:b w:val="0"/>
                <w:sz w:val="15"/>
              </w:rPr>
              <w:t>Assign MATCHED, missing, mismatch and duplicate-review states with deterministic code.</w:t>
            </w:r>
          </w:p>
        </w:tc>
        <w:tc>
          <w:tcPr>
            <w:tcW w:type="dxa" w:w="1560"/>
            <w:vAlign w:val="top"/>
          </w:tcPr>
          <w:p>
            <w:r/>
            <w:r>
              <w:rPr>
                <w:b w:val="0"/>
                <w:sz w:val="15"/>
              </w:rPr>
              <w:t>AI may explain, but deterministic control logic must remain authoritative for match status.</w:t>
            </w:r>
          </w:p>
        </w:tc>
        <w:tc>
          <w:tcPr>
            <w:tcW w:type="dxa" w:w="1560"/>
            <w:vAlign w:val="top"/>
          </w:tcPr>
          <w:p>
            <w:r/>
            <w:r>
              <w:rPr>
                <w:b w:val="0"/>
                <w:sz w:val="15"/>
              </w:rPr>
              <w:t>Recon result set</w:t>
            </w:r>
          </w:p>
        </w:tc>
        <w:tc>
          <w:tcPr>
            <w:tcW w:type="dxa" w:w="1560"/>
            <w:vAlign w:val="top"/>
          </w:tcPr>
          <w:p>
            <w:r/>
            <w:r>
              <w:rPr>
                <w:b w:val="0"/>
                <w:sz w:val="15"/>
              </w:rPr>
              <w:t>Each input lands in one controlled state.</w:t>
            </w:r>
          </w:p>
        </w:tc>
      </w:tr>
      <w:tr>
        <w:tc>
          <w:tcPr>
            <w:tcW w:type="dxa" w:w="1560"/>
            <w:vAlign w:val="top"/>
          </w:tcPr>
          <w:p>
            <w:r/>
            <w:r>
              <w:rPr>
                <w:b w:val="0"/>
                <w:sz w:val="15"/>
              </w:rPr>
              <w:t>4</w:t>
            </w:r>
          </w:p>
        </w:tc>
        <w:tc>
          <w:tcPr>
            <w:tcW w:type="dxa" w:w="1560"/>
            <w:vAlign w:val="top"/>
          </w:tcPr>
          <w:p>
            <w:r/>
            <w:r>
              <w:rPr>
                <w:b w:val="0"/>
                <w:sz w:val="15"/>
              </w:rPr>
              <w:t>Emit exception_created events</w:t>
            </w:r>
          </w:p>
        </w:tc>
        <w:tc>
          <w:tcPr>
            <w:tcW w:type="dxa" w:w="1560"/>
            <w:vAlign w:val="top"/>
          </w:tcPr>
          <w:p>
            <w:r/>
            <w:r>
              <w:rPr>
                <w:b w:val="0"/>
                <w:sz w:val="15"/>
              </w:rPr>
              <w:t>Emit only actionable non-MATCHED results with stable exception_id/correlation_id.</w:t>
            </w:r>
          </w:p>
        </w:tc>
        <w:tc>
          <w:tcPr>
            <w:tcW w:type="dxa" w:w="1560"/>
            <w:vAlign w:val="top"/>
          </w:tcPr>
          <w:p>
            <w:r/>
            <w:r>
              <w:rPr>
                <w:b w:val="0"/>
                <w:sz w:val="15"/>
              </w:rPr>
              <w:t>Streaming should represent work that requires action, not create noise for matched items.</w:t>
            </w:r>
          </w:p>
        </w:tc>
        <w:tc>
          <w:tcPr>
            <w:tcW w:type="dxa" w:w="1560"/>
            <w:vAlign w:val="top"/>
          </w:tcPr>
          <w:p>
            <w:r/>
            <w:r>
              <w:rPr>
                <w:b w:val="0"/>
                <w:sz w:val="15"/>
              </w:rPr>
              <w:t>Exception stream</w:t>
            </w:r>
          </w:p>
        </w:tc>
        <w:tc>
          <w:tcPr>
            <w:tcW w:type="dxa" w:w="1560"/>
            <w:vAlign w:val="top"/>
          </w:tcPr>
          <w:p>
            <w:r/>
            <w:r>
              <w:rPr>
                <w:b w:val="0"/>
                <w:sz w:val="15"/>
              </w:rPr>
              <w:t>MATCHED emits no exception; actionable items do.</w:t>
            </w:r>
          </w:p>
        </w:tc>
      </w:tr>
      <w:tr>
        <w:tc>
          <w:tcPr>
            <w:tcW w:type="dxa" w:w="1560"/>
            <w:vAlign w:val="top"/>
          </w:tcPr>
          <w:p>
            <w:r/>
            <w:r>
              <w:rPr>
                <w:b w:val="0"/>
                <w:sz w:val="15"/>
              </w:rPr>
              <w:t>5</w:t>
            </w:r>
          </w:p>
        </w:tc>
        <w:tc>
          <w:tcPr>
            <w:tcW w:type="dxa" w:w="1560"/>
            <w:vAlign w:val="top"/>
          </w:tcPr>
          <w:p>
            <w:r/>
            <w:r>
              <w:rPr>
                <w:b w:val="0"/>
                <w:sz w:val="15"/>
              </w:rPr>
              <w:t>Reconcile statuses to events</w:t>
            </w:r>
          </w:p>
        </w:tc>
        <w:tc>
          <w:tcPr>
            <w:tcW w:type="dxa" w:w="1560"/>
            <w:vAlign w:val="top"/>
          </w:tcPr>
          <w:p>
            <w:r/>
            <w:r>
              <w:rPr>
                <w:b w:val="0"/>
                <w:sz w:val="15"/>
              </w:rPr>
              <w:t>Compare batch statuses and emitted exception IDs.</w:t>
            </w:r>
          </w:p>
        </w:tc>
        <w:tc>
          <w:tcPr>
            <w:tcW w:type="dxa" w:w="1560"/>
            <w:vAlign w:val="top"/>
          </w:tcPr>
          <w:p>
            <w:r/>
            <w:r>
              <w:rPr>
                <w:b w:val="0"/>
                <w:sz w:val="15"/>
              </w:rPr>
              <w:t>The event layer must faithfully reflect authoritative reconciliation results.</w:t>
            </w:r>
          </w:p>
        </w:tc>
        <w:tc>
          <w:tcPr>
            <w:tcW w:type="dxa" w:w="1560"/>
            <w:vAlign w:val="top"/>
          </w:tcPr>
          <w:p>
            <w:r/>
            <w:r>
              <w:rPr>
                <w:b w:val="0"/>
                <w:sz w:val="15"/>
              </w:rPr>
              <w:t>Control/event reconciliation</w:t>
            </w:r>
          </w:p>
        </w:tc>
        <w:tc>
          <w:tcPr>
            <w:tcW w:type="dxa" w:w="1560"/>
            <w:vAlign w:val="top"/>
          </w:tcPr>
          <w:p>
            <w:r/>
            <w:r>
              <w:rPr>
                <w:b w:val="0"/>
                <w:sz w:val="15"/>
              </w:rPr>
              <w:t>Every actionable status has one expected event.</w:t>
            </w:r>
          </w:p>
        </w:tc>
      </w:tr>
    </w:tbl>
    <w:p>
      <w:r>
        <w:rPr>
          <w:b/>
        </w:rPr>
        <w:t xml:space="preserve">Execution logic and reasoning chain: </w:t>
      </w:r>
      <w:r>
        <w:t>define the processing/control boundary → create deterministic evidence → introduce event flow without changing business authority → validate with measurable controls → retain artefacts for replay, audit and the next day. This ordering is intentional: observability and cloud scale are added only after correctness is measurable.</w:t>
      </w:r>
    </w:p>
    <w:p>
      <w:r>
        <w:rPr>
          <w:b/>
        </w:rPr>
        <w:t xml:space="preserve">Minimum evidence to retain: </w:t>
      </w:r>
      <w:r>
        <w:t>Batch controls + event trace + reconciliation; test output; one representative trace; any failure/recovery evidence; and the source/config version used.</w:t>
      </w:r>
    </w:p>
    <w:p>
      <w:pPr>
        <w:spacing w:before="160" w:after="80"/>
      </w:pPr>
      <w:r>
        <w:rPr>
          <w:b/>
          <w:color w:val="1F4E79"/>
          <w:sz w:val="26"/>
        </w:rPr>
        <w:t>Day 14 — Cloud Batch &amp; Event-Streaming Architecture — Pub/Sub, Dataflow/Apache Beam &amp; BigQuery</w:t>
      </w:r>
    </w:p>
    <w:p>
      <w:r>
        <w:rPr>
          <w:b/>
        </w:rPr>
        <w:t xml:space="preserve">Project context: </w:t>
      </w:r>
      <w:r>
        <w:t xml:space="preserve">ReconAI. </w:t>
      </w:r>
      <w:r>
        <w:rPr>
          <w:b/>
        </w:rPr>
        <w:t xml:space="preserve">Source code: </w:t>
      </w:r>
      <w:r>
        <w:t xml:space="preserve">04_SOURCE_CODE/src/projects/reconai/assignment_pipeline.py. </w:t>
      </w:r>
      <w:r>
        <w:rPr>
          <w:b/>
        </w:rPr>
        <w:t xml:space="preserve">Cloud mapping: </w:t>
      </w:r>
      <w:r>
        <w:t>Cloud Storage/BigQuery + Dataflow batch; Pub/Sub/Dataflow stream; BigQuery sink.</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top"/>
            <w:shd w:fill="2F75B5"/>
          </w:tcPr>
          <w:p>
            <w:r/>
            <w:r>
              <w:rPr>
                <w:b/>
                <w:color w:val="FFFFFF"/>
                <w:sz w:val="16"/>
              </w:rPr>
              <w:t>Step</w:t>
            </w:r>
          </w:p>
        </w:tc>
        <w:tc>
          <w:tcPr>
            <w:tcW w:type="dxa" w:w="1560"/>
            <w:vAlign w:val="top"/>
            <w:shd w:fill="2F75B5"/>
          </w:tcPr>
          <w:p>
            <w:r/>
            <w:r>
              <w:rPr>
                <w:b/>
                <w:color w:val="FFFFFF"/>
                <w:sz w:val="16"/>
              </w:rPr>
              <w:t>What to perform</w:t>
            </w:r>
          </w:p>
        </w:tc>
        <w:tc>
          <w:tcPr>
            <w:tcW w:type="dxa" w:w="1560"/>
            <w:vAlign w:val="top"/>
            <w:shd w:fill="2F75B5"/>
          </w:tcPr>
          <w:p>
            <w:r/>
            <w:r>
              <w:rPr>
                <w:b/>
                <w:color w:val="FFFFFF"/>
                <w:sz w:val="16"/>
              </w:rPr>
              <w:t>How to perform</w:t>
            </w:r>
          </w:p>
        </w:tc>
        <w:tc>
          <w:tcPr>
            <w:tcW w:type="dxa" w:w="1560"/>
            <w:vAlign w:val="top"/>
            <w:shd w:fill="2F75B5"/>
          </w:tcPr>
          <w:p>
            <w:r/>
            <w:r>
              <w:rPr>
                <w:b/>
                <w:color w:val="FFFFFF"/>
                <w:sz w:val="16"/>
              </w:rPr>
              <w:t>Why this step is required</w:t>
            </w:r>
          </w:p>
        </w:tc>
        <w:tc>
          <w:tcPr>
            <w:tcW w:type="dxa" w:w="1560"/>
            <w:vAlign w:val="top"/>
            <w:shd w:fill="2F75B5"/>
          </w:tcPr>
          <w:p>
            <w:r/>
            <w:r>
              <w:rPr>
                <w:b/>
                <w:color w:val="FFFFFF"/>
                <w:sz w:val="16"/>
              </w:rPr>
              <w:t>Expected output</w:t>
            </w:r>
          </w:p>
        </w:tc>
        <w:tc>
          <w:tcPr>
            <w:tcW w:type="dxa" w:w="1560"/>
            <w:vAlign w:val="top"/>
            <w:shd w:fill="2F75B5"/>
          </w:tcPr>
          <w:p>
            <w:r/>
            <w:r>
              <w:rPr>
                <w:b/>
                <w:color w:val="FFFFFF"/>
                <w:sz w:val="16"/>
              </w:rPr>
              <w:t>Validation / acceptance evidence</w:t>
            </w:r>
          </w:p>
        </w:tc>
      </w:tr>
      <w:tr>
        <w:tc>
          <w:tcPr>
            <w:tcW w:type="dxa" w:w="1560"/>
            <w:vAlign w:val="top"/>
          </w:tcPr>
          <w:p>
            <w:r/>
            <w:r>
              <w:rPr>
                <w:b w:val="0"/>
                <w:sz w:val="15"/>
              </w:rPr>
              <w:t>1</w:t>
            </w:r>
          </w:p>
        </w:tc>
        <w:tc>
          <w:tcPr>
            <w:tcW w:type="dxa" w:w="1560"/>
            <w:vAlign w:val="top"/>
          </w:tcPr>
          <w:p>
            <w:r/>
            <w:r>
              <w:rPr>
                <w:b w:val="0"/>
                <w:sz w:val="15"/>
              </w:rPr>
              <w:t>Design Beam/Dataflow batch stages</w:t>
            </w:r>
          </w:p>
        </w:tc>
        <w:tc>
          <w:tcPr>
            <w:tcW w:type="dxa" w:w="1560"/>
            <w:vAlign w:val="top"/>
          </w:tcPr>
          <w:p>
            <w:r/>
            <w:r>
              <w:rPr>
                <w:b w:val="0"/>
                <w:sz w:val="15"/>
              </w:rPr>
              <w:t>Define read, validate, deduplicate, join, classify and write stages.</w:t>
            </w:r>
          </w:p>
        </w:tc>
        <w:tc>
          <w:tcPr>
            <w:tcW w:type="dxa" w:w="1560"/>
            <w:vAlign w:val="top"/>
          </w:tcPr>
          <w:p>
            <w:r/>
            <w:r>
              <w:rPr>
                <w:b w:val="0"/>
                <w:sz w:val="15"/>
              </w:rPr>
              <w:t>Explicit stages make control logic testable and scalable.</w:t>
            </w:r>
          </w:p>
        </w:tc>
        <w:tc>
          <w:tcPr>
            <w:tcW w:type="dxa" w:w="1560"/>
            <w:vAlign w:val="top"/>
          </w:tcPr>
          <w:p>
            <w:r/>
            <w:r>
              <w:rPr>
                <w:b w:val="0"/>
                <w:sz w:val="15"/>
              </w:rPr>
              <w:t>Batch pipeline design</w:t>
            </w:r>
          </w:p>
        </w:tc>
        <w:tc>
          <w:tcPr>
            <w:tcW w:type="dxa" w:w="1560"/>
            <w:vAlign w:val="top"/>
          </w:tcPr>
          <w:p>
            <w:r/>
            <w:r>
              <w:rPr>
                <w:b w:val="0"/>
                <w:sz w:val="15"/>
              </w:rPr>
              <w:t>Each stage has schema and failure output.</w:t>
            </w:r>
          </w:p>
        </w:tc>
      </w:tr>
      <w:tr>
        <w:tc>
          <w:tcPr>
            <w:tcW w:type="dxa" w:w="1560"/>
            <w:vAlign w:val="top"/>
          </w:tcPr>
          <w:p>
            <w:r/>
            <w:r>
              <w:rPr>
                <w:b w:val="0"/>
                <w:sz w:val="15"/>
              </w:rPr>
              <w:t>2</w:t>
            </w:r>
          </w:p>
        </w:tc>
        <w:tc>
          <w:tcPr>
            <w:tcW w:type="dxa" w:w="1560"/>
            <w:vAlign w:val="top"/>
          </w:tcPr>
          <w:p>
            <w:r/>
            <w:r>
              <w:rPr>
                <w:b w:val="0"/>
                <w:sz w:val="15"/>
              </w:rPr>
              <w:t>Design Pub/Sub exception stream</w:t>
            </w:r>
          </w:p>
        </w:tc>
        <w:tc>
          <w:tcPr>
            <w:tcW w:type="dxa" w:w="1560"/>
            <w:vAlign w:val="top"/>
          </w:tcPr>
          <w:p>
            <w:r/>
            <w:r>
              <w:rPr>
                <w:b w:val="0"/>
                <w:sz w:val="15"/>
              </w:rPr>
              <w:t>Define producer, topic, subscription, payload and consumer responsibility.</w:t>
            </w:r>
          </w:p>
        </w:tc>
        <w:tc>
          <w:tcPr>
            <w:tcW w:type="dxa" w:w="1560"/>
            <w:vAlign w:val="top"/>
          </w:tcPr>
          <w:p>
            <w:r/>
            <w:r>
              <w:rPr>
                <w:b w:val="0"/>
                <w:sz w:val="15"/>
              </w:rPr>
              <w:t>Ownership avoids ambiguous retry and acknowledgement behavior.</w:t>
            </w:r>
          </w:p>
        </w:tc>
        <w:tc>
          <w:tcPr>
            <w:tcW w:type="dxa" w:w="1560"/>
            <w:vAlign w:val="top"/>
          </w:tcPr>
          <w:p>
            <w:r/>
            <w:r>
              <w:rPr>
                <w:b w:val="0"/>
                <w:sz w:val="15"/>
              </w:rPr>
              <w:t>Stream contract</w:t>
            </w:r>
          </w:p>
        </w:tc>
        <w:tc>
          <w:tcPr>
            <w:tcW w:type="dxa" w:w="1560"/>
            <w:vAlign w:val="top"/>
          </w:tcPr>
          <w:p>
            <w:r/>
            <w:r>
              <w:rPr>
                <w:b w:val="0"/>
                <w:sz w:val="15"/>
              </w:rPr>
              <w:t>Responsibilities are explicit.</w:t>
            </w:r>
          </w:p>
        </w:tc>
      </w:tr>
      <w:tr>
        <w:tc>
          <w:tcPr>
            <w:tcW w:type="dxa" w:w="1560"/>
            <w:vAlign w:val="top"/>
          </w:tcPr>
          <w:p>
            <w:r/>
            <w:r>
              <w:rPr>
                <w:b w:val="0"/>
                <w:sz w:val="15"/>
              </w:rPr>
              <w:t>3</w:t>
            </w:r>
          </w:p>
        </w:tc>
        <w:tc>
          <w:tcPr>
            <w:tcW w:type="dxa" w:w="1560"/>
            <w:vAlign w:val="top"/>
          </w:tcPr>
          <w:p>
            <w:r/>
            <w:r>
              <w:rPr>
                <w:b w:val="0"/>
                <w:sz w:val="15"/>
              </w:rPr>
              <w:t>Choose durable sinks</w:t>
            </w:r>
          </w:p>
        </w:tc>
        <w:tc>
          <w:tcPr>
            <w:tcW w:type="dxa" w:w="1560"/>
            <w:vAlign w:val="top"/>
          </w:tcPr>
          <w:p>
            <w:r/>
            <w:r>
              <w:rPr>
                <w:b w:val="0"/>
                <w:sz w:val="15"/>
              </w:rPr>
              <w:t>Map results and exceptions to BigQuery tables with keys/partitioning.</w:t>
            </w:r>
          </w:p>
        </w:tc>
        <w:tc>
          <w:tcPr>
            <w:tcW w:type="dxa" w:w="1560"/>
            <w:vAlign w:val="top"/>
          </w:tcPr>
          <w:p>
            <w:r/>
            <w:r>
              <w:rPr>
                <w:b w:val="0"/>
                <w:sz w:val="15"/>
              </w:rPr>
              <w:t>Audit and replay require durable queryable state.</w:t>
            </w:r>
          </w:p>
        </w:tc>
        <w:tc>
          <w:tcPr>
            <w:tcW w:type="dxa" w:w="1560"/>
            <w:vAlign w:val="top"/>
          </w:tcPr>
          <w:p>
            <w:r/>
            <w:r>
              <w:rPr>
                <w:b w:val="0"/>
                <w:sz w:val="15"/>
              </w:rPr>
              <w:t>Sink design</w:t>
            </w:r>
          </w:p>
        </w:tc>
        <w:tc>
          <w:tcPr>
            <w:tcW w:type="dxa" w:w="1560"/>
            <w:vAlign w:val="top"/>
          </w:tcPr>
          <w:p>
            <w:r/>
            <w:r>
              <w:rPr>
                <w:b w:val="0"/>
                <w:sz w:val="15"/>
              </w:rPr>
              <w:t>Keys support audit/replay.</w:t>
            </w:r>
          </w:p>
        </w:tc>
      </w:tr>
      <w:tr>
        <w:tc>
          <w:tcPr>
            <w:tcW w:type="dxa" w:w="1560"/>
            <w:vAlign w:val="top"/>
          </w:tcPr>
          <w:p>
            <w:r/>
            <w:r>
              <w:rPr>
                <w:b w:val="0"/>
                <w:sz w:val="15"/>
              </w:rPr>
              <w:t>4</w:t>
            </w:r>
          </w:p>
        </w:tc>
        <w:tc>
          <w:tcPr>
            <w:tcW w:type="dxa" w:w="1560"/>
            <w:vAlign w:val="top"/>
          </w:tcPr>
          <w:p>
            <w:r/>
            <w:r>
              <w:rPr>
                <w:b w:val="0"/>
                <w:sz w:val="15"/>
              </w:rPr>
              <w:t>Define ack-after-durability</w:t>
            </w:r>
          </w:p>
        </w:tc>
        <w:tc>
          <w:tcPr>
            <w:tcW w:type="dxa" w:w="1560"/>
            <w:vAlign w:val="top"/>
          </w:tcPr>
          <w:p>
            <w:r/>
            <w:r>
              <w:rPr>
                <w:b w:val="0"/>
                <w:sz w:val="15"/>
              </w:rPr>
              <w:t>Ack after durable sink/business case commit.</w:t>
            </w:r>
          </w:p>
        </w:tc>
        <w:tc>
          <w:tcPr>
            <w:tcW w:type="dxa" w:w="1560"/>
            <w:vAlign w:val="top"/>
          </w:tcPr>
          <w:p>
            <w:r/>
            <w:r>
              <w:rPr>
                <w:b w:val="0"/>
                <w:sz w:val="15"/>
              </w:rPr>
              <w:t>This prevents loss between receipt and persistence.</w:t>
            </w:r>
          </w:p>
        </w:tc>
        <w:tc>
          <w:tcPr>
            <w:tcW w:type="dxa" w:w="1560"/>
            <w:vAlign w:val="top"/>
          </w:tcPr>
          <w:p>
            <w:r/>
            <w:r>
              <w:rPr>
                <w:b w:val="0"/>
                <w:sz w:val="15"/>
              </w:rPr>
              <w:t>Ack rule</w:t>
            </w:r>
          </w:p>
        </w:tc>
        <w:tc>
          <w:tcPr>
            <w:tcW w:type="dxa" w:w="1560"/>
            <w:vAlign w:val="top"/>
          </w:tcPr>
          <w:p>
            <w:r/>
            <w:r>
              <w:rPr>
                <w:b w:val="0"/>
                <w:sz w:val="15"/>
              </w:rPr>
              <w:t>Ack point equals durable success.</w:t>
            </w:r>
          </w:p>
        </w:tc>
      </w:tr>
      <w:tr>
        <w:tc>
          <w:tcPr>
            <w:tcW w:type="dxa" w:w="1560"/>
            <w:vAlign w:val="top"/>
          </w:tcPr>
          <w:p>
            <w:r/>
            <w:r>
              <w:rPr>
                <w:b w:val="0"/>
                <w:sz w:val="15"/>
              </w:rPr>
              <w:t>5</w:t>
            </w:r>
          </w:p>
        </w:tc>
        <w:tc>
          <w:tcPr>
            <w:tcW w:type="dxa" w:w="1560"/>
            <w:vAlign w:val="top"/>
          </w:tcPr>
          <w:p>
            <w:r/>
            <w:r>
              <w:rPr>
                <w:b w:val="0"/>
                <w:sz w:val="15"/>
              </w:rPr>
              <w:t>Define dead-letter and reprocessing</w:t>
            </w:r>
          </w:p>
        </w:tc>
        <w:tc>
          <w:tcPr>
            <w:tcW w:type="dxa" w:w="1560"/>
            <w:vAlign w:val="top"/>
          </w:tcPr>
          <w:p>
            <w:r/>
            <w:r>
              <w:rPr>
                <w:b w:val="0"/>
                <w:sz w:val="15"/>
              </w:rPr>
              <w:t>Route malformed/repeated failures to controlled storage/queue with operator owner.</w:t>
            </w:r>
          </w:p>
        </w:tc>
        <w:tc>
          <w:tcPr>
            <w:tcW w:type="dxa" w:w="1560"/>
            <w:vAlign w:val="top"/>
          </w:tcPr>
          <w:p>
            <w:r/>
            <w:r>
              <w:rPr>
                <w:b w:val="0"/>
                <w:sz w:val="15"/>
              </w:rPr>
              <w:t>Failures need a recoverable terminal state.</w:t>
            </w:r>
          </w:p>
        </w:tc>
        <w:tc>
          <w:tcPr>
            <w:tcW w:type="dxa" w:w="1560"/>
            <w:vAlign w:val="top"/>
          </w:tcPr>
          <w:p>
            <w:r/>
            <w:r>
              <w:rPr>
                <w:b w:val="0"/>
                <w:sz w:val="15"/>
              </w:rPr>
              <w:t>DLQ/reprocess design</w:t>
            </w:r>
          </w:p>
        </w:tc>
        <w:tc>
          <w:tcPr>
            <w:tcW w:type="dxa" w:w="1560"/>
            <w:vAlign w:val="top"/>
          </w:tcPr>
          <w:p>
            <w:r/>
            <w:r>
              <w:rPr>
                <w:b w:val="0"/>
                <w:sz w:val="15"/>
              </w:rPr>
              <w:t>Owner and replay process are documented.</w:t>
            </w:r>
          </w:p>
        </w:tc>
      </w:tr>
    </w:tbl>
    <w:p>
      <w:r>
        <w:rPr>
          <w:b/>
        </w:rPr>
        <w:t xml:space="preserve">Execution logic and reasoning chain: </w:t>
      </w:r>
      <w:r>
        <w:t>define the processing/control boundary → create deterministic evidence → introduce event flow without changing business authority → validate with measurable controls → retain artefacts for replay, audit and the next day. This ordering is intentional: observability and cloud scale are added only after correctness is measurable.</w:t>
      </w:r>
    </w:p>
    <w:p>
      <w:r>
        <w:rPr>
          <w:b/>
        </w:rPr>
        <w:t xml:space="preserve">Minimum evidence to retain: </w:t>
      </w:r>
      <w:r>
        <w:t>Architecture + contracts + IAM/failure design; test output; one representative trace; any failure/recovery evidence; and the source/config version used.</w:t>
      </w:r>
    </w:p>
    <w:p>
      <w:pPr>
        <w:spacing w:before="160" w:after="80"/>
      </w:pPr>
      <w:r>
        <w:rPr>
          <w:b/>
          <w:color w:val="1F4E79"/>
          <w:sz w:val="26"/>
        </w:rPr>
        <w:t>Day 15 — Batch Validation &amp; Publisher Batching — Event Time, Windows, Watermarks &amp; Late Data</w:t>
      </w:r>
    </w:p>
    <w:p>
      <w:r>
        <w:rPr>
          <w:b/>
        </w:rPr>
        <w:t xml:space="preserve">Project context: </w:t>
      </w:r>
      <w:r>
        <w:t xml:space="preserve">ReconAI. </w:t>
      </w:r>
      <w:r>
        <w:rPr>
          <w:b/>
        </w:rPr>
        <w:t xml:space="preserve">Source code: </w:t>
      </w:r>
      <w:r>
        <w:t xml:space="preserve">04_SOURCE_CODE/src/projects/reconai/assignment_pipeline.py. </w:t>
      </w:r>
      <w:r>
        <w:rPr>
          <w:b/>
        </w:rPr>
        <w:t xml:space="preserve">Cloud mapping: </w:t>
      </w:r>
      <w:r>
        <w:t>Cloud Storage/BigQuery + Dataflow batch; Pub/Sub/Dataflow stream; BigQuery sink.</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top"/>
            <w:shd w:fill="2F75B5"/>
          </w:tcPr>
          <w:p>
            <w:r/>
            <w:r>
              <w:rPr>
                <w:b/>
                <w:color w:val="FFFFFF"/>
                <w:sz w:val="16"/>
              </w:rPr>
              <w:t>Step</w:t>
            </w:r>
          </w:p>
        </w:tc>
        <w:tc>
          <w:tcPr>
            <w:tcW w:type="dxa" w:w="1560"/>
            <w:vAlign w:val="top"/>
            <w:shd w:fill="2F75B5"/>
          </w:tcPr>
          <w:p>
            <w:r/>
            <w:r>
              <w:rPr>
                <w:b/>
                <w:color w:val="FFFFFF"/>
                <w:sz w:val="16"/>
              </w:rPr>
              <w:t>What to perform</w:t>
            </w:r>
          </w:p>
        </w:tc>
        <w:tc>
          <w:tcPr>
            <w:tcW w:type="dxa" w:w="1560"/>
            <w:vAlign w:val="top"/>
            <w:shd w:fill="2F75B5"/>
          </w:tcPr>
          <w:p>
            <w:r/>
            <w:r>
              <w:rPr>
                <w:b/>
                <w:color w:val="FFFFFF"/>
                <w:sz w:val="16"/>
              </w:rPr>
              <w:t>How to perform</w:t>
            </w:r>
          </w:p>
        </w:tc>
        <w:tc>
          <w:tcPr>
            <w:tcW w:type="dxa" w:w="1560"/>
            <w:vAlign w:val="top"/>
            <w:shd w:fill="2F75B5"/>
          </w:tcPr>
          <w:p>
            <w:r/>
            <w:r>
              <w:rPr>
                <w:b/>
                <w:color w:val="FFFFFF"/>
                <w:sz w:val="16"/>
              </w:rPr>
              <w:t>Why this step is required</w:t>
            </w:r>
          </w:p>
        </w:tc>
        <w:tc>
          <w:tcPr>
            <w:tcW w:type="dxa" w:w="1560"/>
            <w:vAlign w:val="top"/>
            <w:shd w:fill="2F75B5"/>
          </w:tcPr>
          <w:p>
            <w:r/>
            <w:r>
              <w:rPr>
                <w:b/>
                <w:color w:val="FFFFFF"/>
                <w:sz w:val="16"/>
              </w:rPr>
              <w:t>Expected output</w:t>
            </w:r>
          </w:p>
        </w:tc>
        <w:tc>
          <w:tcPr>
            <w:tcW w:type="dxa" w:w="1560"/>
            <w:vAlign w:val="top"/>
            <w:shd w:fill="2F75B5"/>
          </w:tcPr>
          <w:p>
            <w:r/>
            <w:r>
              <w:rPr>
                <w:b/>
                <w:color w:val="FFFFFF"/>
                <w:sz w:val="16"/>
              </w:rPr>
              <w:t>Validation / acceptance evidence</w:t>
            </w:r>
          </w:p>
        </w:tc>
      </w:tr>
      <w:tr>
        <w:tc>
          <w:tcPr>
            <w:tcW w:type="dxa" w:w="1560"/>
            <w:vAlign w:val="top"/>
          </w:tcPr>
          <w:p>
            <w:r/>
            <w:r>
              <w:rPr>
                <w:b w:val="0"/>
                <w:sz w:val="15"/>
              </w:rPr>
              <w:t>1</w:t>
            </w:r>
          </w:p>
        </w:tc>
        <w:tc>
          <w:tcPr>
            <w:tcW w:type="dxa" w:w="1560"/>
            <w:vAlign w:val="top"/>
          </w:tcPr>
          <w:p>
            <w:r/>
            <w:r>
              <w:rPr>
                <w:b w:val="0"/>
                <w:sz w:val="15"/>
              </w:rPr>
              <w:t>Create golden reconciliation cases</w:t>
            </w:r>
          </w:p>
        </w:tc>
        <w:tc>
          <w:tcPr>
            <w:tcW w:type="dxa" w:w="1560"/>
            <w:vAlign w:val="top"/>
          </w:tcPr>
          <w:p>
            <w:r/>
            <w:r>
              <w:rPr>
                <w:b w:val="0"/>
                <w:sz w:val="15"/>
              </w:rPr>
              <w:t>Build fixtures for every supported status including duplicates and bad amounts.</w:t>
            </w:r>
          </w:p>
        </w:tc>
        <w:tc>
          <w:tcPr>
            <w:tcW w:type="dxa" w:w="1560"/>
            <w:vAlign w:val="top"/>
          </w:tcPr>
          <w:p>
            <w:r/>
            <w:r>
              <w:rPr>
                <w:b w:val="0"/>
                <w:sz w:val="15"/>
              </w:rPr>
              <w:t>Tests must cover all control outcomes, not only happy path.</w:t>
            </w:r>
          </w:p>
        </w:tc>
        <w:tc>
          <w:tcPr>
            <w:tcW w:type="dxa" w:w="1560"/>
            <w:vAlign w:val="top"/>
          </w:tcPr>
          <w:p>
            <w:r/>
            <w:r>
              <w:rPr>
                <w:b w:val="0"/>
                <w:sz w:val="15"/>
              </w:rPr>
              <w:t>Golden fixtures</w:t>
            </w:r>
          </w:p>
        </w:tc>
        <w:tc>
          <w:tcPr>
            <w:tcW w:type="dxa" w:w="1560"/>
            <w:vAlign w:val="top"/>
          </w:tcPr>
          <w:p>
            <w:r/>
            <w:r>
              <w:rPr>
                <w:b w:val="0"/>
                <w:sz w:val="15"/>
              </w:rPr>
              <w:t>Every status has a fixture.</w:t>
            </w:r>
          </w:p>
        </w:tc>
      </w:tr>
      <w:tr>
        <w:tc>
          <w:tcPr>
            <w:tcW w:type="dxa" w:w="1560"/>
            <w:vAlign w:val="top"/>
          </w:tcPr>
          <w:p>
            <w:r/>
            <w:r>
              <w:rPr>
                <w:b w:val="0"/>
                <w:sz w:val="15"/>
              </w:rPr>
              <w:t>2</w:t>
            </w:r>
          </w:p>
        </w:tc>
        <w:tc>
          <w:tcPr>
            <w:tcW w:type="dxa" w:w="1560"/>
            <w:vAlign w:val="top"/>
          </w:tcPr>
          <w:p>
            <w:r/>
            <w:r>
              <w:rPr>
                <w:b w:val="0"/>
                <w:sz w:val="15"/>
              </w:rPr>
              <w:t>Record expected batch results</w:t>
            </w:r>
          </w:p>
        </w:tc>
        <w:tc>
          <w:tcPr>
            <w:tcW w:type="dxa" w:w="1560"/>
            <w:vAlign w:val="top"/>
          </w:tcPr>
          <w:p>
            <w:r/>
            <w:r>
              <w:rPr>
                <w:b w:val="0"/>
                <w:sz w:val="15"/>
              </w:rPr>
              <w:t>Specify status, tolerance result and control totals before running code.</w:t>
            </w:r>
          </w:p>
        </w:tc>
        <w:tc>
          <w:tcPr>
            <w:tcW w:type="dxa" w:w="1560"/>
            <w:vAlign w:val="top"/>
          </w:tcPr>
          <w:p>
            <w:r/>
            <w:r>
              <w:rPr>
                <w:b w:val="0"/>
                <w:sz w:val="15"/>
              </w:rPr>
              <w:t>Predefined expectations keep validation unbiased.</w:t>
            </w:r>
          </w:p>
        </w:tc>
        <w:tc>
          <w:tcPr>
            <w:tcW w:type="dxa" w:w="1560"/>
            <w:vAlign w:val="top"/>
          </w:tcPr>
          <w:p>
            <w:r/>
            <w:r>
              <w:rPr>
                <w:b w:val="0"/>
                <w:sz w:val="15"/>
              </w:rPr>
              <w:t>Expected batch manifest</w:t>
            </w:r>
          </w:p>
        </w:tc>
        <w:tc>
          <w:tcPr>
            <w:tcW w:type="dxa" w:w="1560"/>
            <w:vAlign w:val="top"/>
          </w:tcPr>
          <w:p>
            <w:r/>
            <w:r>
              <w:rPr>
                <w:b w:val="0"/>
                <w:sz w:val="15"/>
              </w:rPr>
              <w:t>Actual can be automatically compared.</w:t>
            </w:r>
          </w:p>
        </w:tc>
      </w:tr>
      <w:tr>
        <w:tc>
          <w:tcPr>
            <w:tcW w:type="dxa" w:w="1560"/>
            <w:vAlign w:val="top"/>
          </w:tcPr>
          <w:p>
            <w:r/>
            <w:r>
              <w:rPr>
                <w:b w:val="0"/>
                <w:sz w:val="15"/>
              </w:rPr>
              <w:t>3</w:t>
            </w:r>
          </w:p>
        </w:tc>
        <w:tc>
          <w:tcPr>
            <w:tcW w:type="dxa" w:w="1560"/>
            <w:vAlign w:val="top"/>
          </w:tcPr>
          <w:p>
            <w:r/>
            <w:r>
              <w:rPr>
                <w:b w:val="0"/>
                <w:sz w:val="15"/>
              </w:rPr>
              <w:t>Record expected event behavior</w:t>
            </w:r>
          </w:p>
        </w:tc>
        <w:tc>
          <w:tcPr>
            <w:tcW w:type="dxa" w:w="1560"/>
            <w:vAlign w:val="top"/>
          </w:tcPr>
          <w:p>
            <w:r/>
            <w:r>
              <w:rPr>
                <w:b w:val="0"/>
                <w:sz w:val="15"/>
              </w:rPr>
              <w:t>Specify whether each case emits an exception and expected reason/key.</w:t>
            </w:r>
          </w:p>
        </w:tc>
        <w:tc>
          <w:tcPr>
            <w:tcW w:type="dxa" w:w="1560"/>
            <w:vAlign w:val="top"/>
          </w:tcPr>
          <w:p>
            <w:r/>
            <w:r>
              <w:rPr>
                <w:b w:val="0"/>
                <w:sz w:val="15"/>
              </w:rPr>
              <w:t>Batch and event correctness are related but separate acceptance dimensions.</w:t>
            </w:r>
          </w:p>
        </w:tc>
        <w:tc>
          <w:tcPr>
            <w:tcW w:type="dxa" w:w="1560"/>
            <w:vAlign w:val="top"/>
          </w:tcPr>
          <w:p>
            <w:r/>
            <w:r>
              <w:rPr>
                <w:b w:val="0"/>
                <w:sz w:val="15"/>
              </w:rPr>
              <w:t>Expected event manifest</w:t>
            </w:r>
          </w:p>
        </w:tc>
        <w:tc>
          <w:tcPr>
            <w:tcW w:type="dxa" w:w="1560"/>
            <w:vAlign w:val="top"/>
          </w:tcPr>
          <w:p>
            <w:r/>
            <w:r>
              <w:rPr>
                <w:b w:val="0"/>
                <w:sz w:val="15"/>
              </w:rPr>
              <w:t>Emission rules are testable.</w:t>
            </w:r>
          </w:p>
        </w:tc>
      </w:tr>
      <w:tr>
        <w:tc>
          <w:tcPr>
            <w:tcW w:type="dxa" w:w="1560"/>
            <w:vAlign w:val="top"/>
          </w:tcPr>
          <w:p>
            <w:r/>
            <w:r>
              <w:rPr>
                <w:b w:val="0"/>
                <w:sz w:val="15"/>
              </w:rPr>
              <w:t>4</w:t>
            </w:r>
          </w:p>
        </w:tc>
        <w:tc>
          <w:tcPr>
            <w:tcW w:type="dxa" w:w="1560"/>
            <w:vAlign w:val="top"/>
          </w:tcPr>
          <w:p>
            <w:r/>
            <w:r>
              <w:rPr>
                <w:b w:val="0"/>
                <w:sz w:val="15"/>
              </w:rPr>
              <w:t>Add event-time policy</w:t>
            </w:r>
          </w:p>
        </w:tc>
        <w:tc>
          <w:tcPr>
            <w:tcW w:type="dxa" w:w="1560"/>
            <w:vAlign w:val="top"/>
          </w:tcPr>
          <w:p>
            <w:r/>
            <w:r>
              <w:rPr>
                <w:b w:val="0"/>
                <w:sz w:val="15"/>
              </w:rPr>
              <w:t>Carry source event time and define allowed lateness.</w:t>
            </w:r>
          </w:p>
        </w:tc>
        <w:tc>
          <w:tcPr>
            <w:tcW w:type="dxa" w:w="1560"/>
            <w:vAlign w:val="top"/>
          </w:tcPr>
          <w:p>
            <w:r/>
            <w:r>
              <w:rPr>
                <w:b w:val="0"/>
                <w:sz w:val="15"/>
              </w:rPr>
              <w:t>Settlement feeds can arrive late; time semantics must be explicit.</w:t>
            </w:r>
          </w:p>
        </w:tc>
        <w:tc>
          <w:tcPr>
            <w:tcW w:type="dxa" w:w="1560"/>
            <w:vAlign w:val="top"/>
          </w:tcPr>
          <w:p>
            <w:r/>
            <w:r>
              <w:rPr>
                <w:b w:val="0"/>
                <w:sz w:val="15"/>
              </w:rPr>
              <w:t>Time policy</w:t>
            </w:r>
          </w:p>
        </w:tc>
        <w:tc>
          <w:tcPr>
            <w:tcW w:type="dxa" w:w="1560"/>
            <w:vAlign w:val="top"/>
          </w:tcPr>
          <w:p>
            <w:r/>
            <w:r>
              <w:rPr>
                <w:b w:val="0"/>
                <w:sz w:val="15"/>
              </w:rPr>
              <w:t>Event time and lateness are stated.</w:t>
            </w:r>
          </w:p>
        </w:tc>
      </w:tr>
      <w:tr>
        <w:tc>
          <w:tcPr>
            <w:tcW w:type="dxa" w:w="1560"/>
            <w:vAlign w:val="top"/>
          </w:tcPr>
          <w:p>
            <w:r/>
            <w:r>
              <w:rPr>
                <w:b w:val="0"/>
                <w:sz w:val="15"/>
              </w:rPr>
              <w:t>5</w:t>
            </w:r>
          </w:p>
        </w:tc>
        <w:tc>
          <w:tcPr>
            <w:tcW w:type="dxa" w:w="1560"/>
            <w:vAlign w:val="top"/>
          </w:tcPr>
          <w:p>
            <w:r/>
            <w:r>
              <w:rPr>
                <w:b w:val="0"/>
                <w:sz w:val="15"/>
              </w:rPr>
              <w:t>Run automated regression</w:t>
            </w:r>
          </w:p>
        </w:tc>
        <w:tc>
          <w:tcPr>
            <w:tcW w:type="dxa" w:w="1560"/>
            <w:vAlign w:val="top"/>
          </w:tcPr>
          <w:p>
            <w:r/>
            <w:r>
              <w:rPr>
                <w:b w:val="0"/>
                <w:sz w:val="15"/>
              </w:rPr>
              <w:t>Execute packaged tests against all fixtures.</w:t>
            </w:r>
          </w:p>
        </w:tc>
        <w:tc>
          <w:tcPr>
            <w:tcW w:type="dxa" w:w="1560"/>
            <w:vAlign w:val="top"/>
          </w:tcPr>
          <w:p>
            <w:r/>
            <w:r>
              <w:rPr>
                <w:b w:val="0"/>
                <w:sz w:val="15"/>
              </w:rPr>
              <w:t>Regression protects financial-control behavior while code evolves.</w:t>
            </w:r>
          </w:p>
        </w:tc>
        <w:tc>
          <w:tcPr>
            <w:tcW w:type="dxa" w:w="1560"/>
            <w:vAlign w:val="top"/>
          </w:tcPr>
          <w:p>
            <w:r/>
            <w:r>
              <w:rPr>
                <w:b w:val="0"/>
                <w:sz w:val="15"/>
              </w:rPr>
              <w:t>Regression report</w:t>
            </w:r>
          </w:p>
        </w:tc>
        <w:tc>
          <w:tcPr>
            <w:tcW w:type="dxa" w:w="1560"/>
            <w:vAlign w:val="top"/>
          </w:tcPr>
          <w:p>
            <w:r/>
            <w:r>
              <w:rPr>
                <w:b w:val="0"/>
                <w:sz w:val="15"/>
              </w:rPr>
              <w:t>All statuses and event rules pass.</w:t>
            </w:r>
          </w:p>
        </w:tc>
      </w:tr>
    </w:tbl>
    <w:p>
      <w:r>
        <w:rPr>
          <w:b/>
        </w:rPr>
        <w:t xml:space="preserve">Execution logic and reasoning chain: </w:t>
      </w:r>
      <w:r>
        <w:t>define the processing/control boundary → create deterministic evidence → introduce event flow without changing business authority → validate with measurable controls → retain artefacts for replay, audit and the next day. This ordering is intentional: observability and cloud scale are added only after correctness is measurable.</w:t>
      </w:r>
    </w:p>
    <w:p>
      <w:r>
        <w:rPr>
          <w:b/>
        </w:rPr>
        <w:t xml:space="preserve">Minimum evidence to retain: </w:t>
      </w:r>
      <w:r>
        <w:t>Golden tests + timing/windowing evidence; test output; one representative trace; any failure/recovery evidence; and the source/config version used.</w:t>
      </w:r>
    </w:p>
    <w:p>
      <w:pPr>
        <w:spacing w:before="160" w:after="80"/>
      </w:pPr>
      <w:r>
        <w:rPr>
          <w:b/>
          <w:color w:val="1F4E79"/>
          <w:sz w:val="26"/>
        </w:rPr>
        <w:t>Day 16 — Streaming Observability &amp; Delivery Semantics — Correlation, Acknowledgement &amp; Durable Processing</w:t>
      </w:r>
    </w:p>
    <w:p>
      <w:r>
        <w:rPr>
          <w:b/>
        </w:rPr>
        <w:t xml:space="preserve">Project context: </w:t>
      </w:r>
      <w:r>
        <w:t xml:space="preserve">ReconAI. </w:t>
      </w:r>
      <w:r>
        <w:rPr>
          <w:b/>
        </w:rPr>
        <w:t xml:space="preserve">Source code: </w:t>
      </w:r>
      <w:r>
        <w:t xml:space="preserve">04_SOURCE_CODE/src/projects/reconai/assignment_pipeline.py. </w:t>
      </w:r>
      <w:r>
        <w:rPr>
          <w:b/>
        </w:rPr>
        <w:t xml:space="preserve">Cloud mapping: </w:t>
      </w:r>
      <w:r>
        <w:t>Cloud Storage/BigQuery + Dataflow batch; Pub/Sub/Dataflow stream; BigQuery sink.</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top"/>
            <w:shd w:fill="2F75B5"/>
          </w:tcPr>
          <w:p>
            <w:r/>
            <w:r>
              <w:rPr>
                <w:b/>
                <w:color w:val="FFFFFF"/>
                <w:sz w:val="16"/>
              </w:rPr>
              <w:t>Step</w:t>
            </w:r>
          </w:p>
        </w:tc>
        <w:tc>
          <w:tcPr>
            <w:tcW w:type="dxa" w:w="1560"/>
            <w:vAlign w:val="top"/>
            <w:shd w:fill="2F75B5"/>
          </w:tcPr>
          <w:p>
            <w:r/>
            <w:r>
              <w:rPr>
                <w:b/>
                <w:color w:val="FFFFFF"/>
                <w:sz w:val="16"/>
              </w:rPr>
              <w:t>What to perform</w:t>
            </w:r>
          </w:p>
        </w:tc>
        <w:tc>
          <w:tcPr>
            <w:tcW w:type="dxa" w:w="1560"/>
            <w:vAlign w:val="top"/>
            <w:shd w:fill="2F75B5"/>
          </w:tcPr>
          <w:p>
            <w:r/>
            <w:r>
              <w:rPr>
                <w:b/>
                <w:color w:val="FFFFFF"/>
                <w:sz w:val="16"/>
              </w:rPr>
              <w:t>How to perform</w:t>
            </w:r>
          </w:p>
        </w:tc>
        <w:tc>
          <w:tcPr>
            <w:tcW w:type="dxa" w:w="1560"/>
            <w:vAlign w:val="top"/>
            <w:shd w:fill="2F75B5"/>
          </w:tcPr>
          <w:p>
            <w:r/>
            <w:r>
              <w:rPr>
                <w:b/>
                <w:color w:val="FFFFFF"/>
                <w:sz w:val="16"/>
              </w:rPr>
              <w:t>Why this step is required</w:t>
            </w:r>
          </w:p>
        </w:tc>
        <w:tc>
          <w:tcPr>
            <w:tcW w:type="dxa" w:w="1560"/>
            <w:vAlign w:val="top"/>
            <w:shd w:fill="2F75B5"/>
          </w:tcPr>
          <w:p>
            <w:r/>
            <w:r>
              <w:rPr>
                <w:b/>
                <w:color w:val="FFFFFF"/>
                <w:sz w:val="16"/>
              </w:rPr>
              <w:t>Expected output</w:t>
            </w:r>
          </w:p>
        </w:tc>
        <w:tc>
          <w:tcPr>
            <w:tcW w:type="dxa" w:w="1560"/>
            <w:vAlign w:val="top"/>
            <w:shd w:fill="2F75B5"/>
          </w:tcPr>
          <w:p>
            <w:r/>
            <w:r>
              <w:rPr>
                <w:b/>
                <w:color w:val="FFFFFF"/>
                <w:sz w:val="16"/>
              </w:rPr>
              <w:t>Validation / acceptance evidence</w:t>
            </w:r>
          </w:p>
        </w:tc>
      </w:tr>
      <w:tr>
        <w:tc>
          <w:tcPr>
            <w:tcW w:type="dxa" w:w="1560"/>
            <w:vAlign w:val="top"/>
          </w:tcPr>
          <w:p>
            <w:r/>
            <w:r>
              <w:rPr>
                <w:b w:val="0"/>
                <w:sz w:val="15"/>
              </w:rPr>
              <w:t>1</w:t>
            </w:r>
          </w:p>
        </w:tc>
        <w:tc>
          <w:tcPr>
            <w:tcW w:type="dxa" w:w="1560"/>
            <w:vAlign w:val="top"/>
          </w:tcPr>
          <w:p>
            <w:r/>
            <w:r>
              <w:rPr>
                <w:b w:val="0"/>
                <w:sz w:val="15"/>
              </w:rPr>
              <w:t>Instrument run controls</w:t>
            </w:r>
          </w:p>
        </w:tc>
        <w:tc>
          <w:tcPr>
            <w:tcW w:type="dxa" w:w="1560"/>
            <w:vAlign w:val="top"/>
          </w:tcPr>
          <w:p>
            <w:r/>
            <w:r>
              <w:rPr>
                <w:b w:val="0"/>
                <w:sz w:val="15"/>
              </w:rPr>
              <w:t>Log run_id, input versions, counts, totals and status counts.</w:t>
            </w:r>
          </w:p>
        </w:tc>
        <w:tc>
          <w:tcPr>
            <w:tcW w:type="dxa" w:w="1560"/>
            <w:vAlign w:val="top"/>
          </w:tcPr>
          <w:p>
            <w:r/>
            <w:r>
              <w:rPr>
                <w:b w:val="0"/>
                <w:sz w:val="15"/>
              </w:rPr>
              <w:t>Operations need evidence of exactly what was processed.</w:t>
            </w:r>
          </w:p>
        </w:tc>
        <w:tc>
          <w:tcPr>
            <w:tcW w:type="dxa" w:w="1560"/>
            <w:vAlign w:val="top"/>
          </w:tcPr>
          <w:p>
            <w:r/>
            <w:r>
              <w:rPr>
                <w:b w:val="0"/>
                <w:sz w:val="15"/>
              </w:rPr>
              <w:t>Run-control log</w:t>
            </w:r>
          </w:p>
        </w:tc>
        <w:tc>
          <w:tcPr>
            <w:tcW w:type="dxa" w:w="1560"/>
            <w:vAlign w:val="top"/>
          </w:tcPr>
          <w:p>
            <w:r/>
            <w:r>
              <w:rPr>
                <w:b w:val="0"/>
                <w:sz w:val="15"/>
              </w:rPr>
              <w:t>Counts/totals are queryable.</w:t>
            </w:r>
          </w:p>
        </w:tc>
      </w:tr>
      <w:tr>
        <w:tc>
          <w:tcPr>
            <w:tcW w:type="dxa" w:w="1560"/>
            <w:vAlign w:val="top"/>
          </w:tcPr>
          <w:p>
            <w:r/>
            <w:r>
              <w:rPr>
                <w:b w:val="0"/>
                <w:sz w:val="15"/>
              </w:rPr>
              <w:t>2</w:t>
            </w:r>
          </w:p>
        </w:tc>
        <w:tc>
          <w:tcPr>
            <w:tcW w:type="dxa" w:w="1560"/>
            <w:vAlign w:val="top"/>
          </w:tcPr>
          <w:p>
            <w:r/>
            <w:r>
              <w:rPr>
                <w:b w:val="0"/>
                <w:sz w:val="15"/>
              </w:rPr>
              <w:t>Trace exception lifecycle</w:t>
            </w:r>
          </w:p>
        </w:tc>
        <w:tc>
          <w:tcPr>
            <w:tcW w:type="dxa" w:w="1560"/>
            <w:vAlign w:val="top"/>
          </w:tcPr>
          <w:p>
            <w:r/>
            <w:r>
              <w:rPr>
                <w:b w:val="0"/>
                <w:sz w:val="15"/>
              </w:rPr>
              <w:t>Propagate exception_id/correlation_id through event, sink and review.</w:t>
            </w:r>
          </w:p>
        </w:tc>
        <w:tc>
          <w:tcPr>
            <w:tcW w:type="dxa" w:w="1560"/>
            <w:vAlign w:val="top"/>
          </w:tcPr>
          <w:p>
            <w:r/>
            <w:r>
              <w:rPr>
                <w:b w:val="0"/>
                <w:sz w:val="15"/>
              </w:rPr>
              <w:t>Every exception must be traceable end to end.</w:t>
            </w:r>
          </w:p>
        </w:tc>
        <w:tc>
          <w:tcPr>
            <w:tcW w:type="dxa" w:w="1560"/>
            <w:vAlign w:val="top"/>
          </w:tcPr>
          <w:p>
            <w:r/>
            <w:r>
              <w:rPr>
                <w:b w:val="0"/>
                <w:sz w:val="15"/>
              </w:rPr>
              <w:t>Exception trace</w:t>
            </w:r>
          </w:p>
        </w:tc>
        <w:tc>
          <w:tcPr>
            <w:tcW w:type="dxa" w:w="1560"/>
            <w:vAlign w:val="top"/>
          </w:tcPr>
          <w:p>
            <w:r/>
            <w:r>
              <w:rPr>
                <w:b w:val="0"/>
                <w:sz w:val="15"/>
              </w:rPr>
              <w:t>One exception is reconstructable.</w:t>
            </w:r>
          </w:p>
        </w:tc>
      </w:tr>
      <w:tr>
        <w:tc>
          <w:tcPr>
            <w:tcW w:type="dxa" w:w="1560"/>
            <w:vAlign w:val="top"/>
          </w:tcPr>
          <w:p>
            <w:r/>
            <w:r>
              <w:rPr>
                <w:b w:val="0"/>
                <w:sz w:val="15"/>
              </w:rPr>
              <w:t>3</w:t>
            </w:r>
          </w:p>
        </w:tc>
        <w:tc>
          <w:tcPr>
            <w:tcW w:type="dxa" w:w="1560"/>
            <w:vAlign w:val="top"/>
          </w:tcPr>
          <w:p>
            <w:r/>
            <w:r>
              <w:rPr>
                <w:b w:val="0"/>
                <w:sz w:val="15"/>
              </w:rPr>
              <w:t>Measure lag and latency</w:t>
            </w:r>
          </w:p>
        </w:tc>
        <w:tc>
          <w:tcPr>
            <w:tcW w:type="dxa" w:w="1560"/>
            <w:vAlign w:val="top"/>
          </w:tcPr>
          <w:p>
            <w:r/>
            <w:r>
              <w:rPr>
                <w:b w:val="0"/>
                <w:sz w:val="15"/>
              </w:rPr>
              <w:t>Track event age, consumer lag and time to durable sink.</w:t>
            </w:r>
          </w:p>
        </w:tc>
        <w:tc>
          <w:tcPr>
            <w:tcW w:type="dxa" w:w="1560"/>
            <w:vAlign w:val="top"/>
          </w:tcPr>
          <w:p>
            <w:r/>
            <w:r>
              <w:rPr>
                <w:b w:val="0"/>
                <w:sz w:val="15"/>
              </w:rPr>
              <w:t>Delayed exceptions can breach reconciliation SLAs.</w:t>
            </w:r>
          </w:p>
        </w:tc>
        <w:tc>
          <w:tcPr>
            <w:tcW w:type="dxa" w:w="1560"/>
            <w:vAlign w:val="top"/>
          </w:tcPr>
          <w:p>
            <w:r/>
            <w:r>
              <w:rPr>
                <w:b w:val="0"/>
                <w:sz w:val="15"/>
              </w:rPr>
              <w:t>Latency metrics</w:t>
            </w:r>
          </w:p>
        </w:tc>
        <w:tc>
          <w:tcPr>
            <w:tcW w:type="dxa" w:w="1560"/>
            <w:vAlign w:val="top"/>
          </w:tcPr>
          <w:p>
            <w:r/>
            <w:r>
              <w:rPr>
                <w:b w:val="0"/>
                <w:sz w:val="15"/>
              </w:rPr>
              <w:t>Thresholds are defined.</w:t>
            </w:r>
          </w:p>
        </w:tc>
      </w:tr>
      <w:tr>
        <w:tc>
          <w:tcPr>
            <w:tcW w:type="dxa" w:w="1560"/>
            <w:vAlign w:val="top"/>
          </w:tcPr>
          <w:p>
            <w:r/>
            <w:r>
              <w:rPr>
                <w:b w:val="0"/>
                <w:sz w:val="15"/>
              </w:rPr>
              <w:t>4</w:t>
            </w:r>
          </w:p>
        </w:tc>
        <w:tc>
          <w:tcPr>
            <w:tcW w:type="dxa" w:w="1560"/>
            <w:vAlign w:val="top"/>
          </w:tcPr>
          <w:p>
            <w:r/>
            <w:r>
              <w:rPr>
                <w:b w:val="0"/>
                <w:sz w:val="15"/>
              </w:rPr>
              <w:t>Verify ack-after-sink</w:t>
            </w:r>
          </w:p>
        </w:tc>
        <w:tc>
          <w:tcPr>
            <w:tcW w:type="dxa" w:w="1560"/>
            <w:vAlign w:val="top"/>
          </w:tcPr>
          <w:p>
            <w:r/>
            <w:r>
              <w:rPr>
                <w:b w:val="0"/>
                <w:sz w:val="15"/>
              </w:rPr>
              <w:t>Simulate sink failure and confirm event remains recoverable/redeliverable.</w:t>
            </w:r>
          </w:p>
        </w:tc>
        <w:tc>
          <w:tcPr>
            <w:tcW w:type="dxa" w:w="1560"/>
            <w:vAlign w:val="top"/>
          </w:tcPr>
          <w:p>
            <w:r/>
            <w:r>
              <w:rPr>
                <w:b w:val="0"/>
                <w:sz w:val="15"/>
              </w:rPr>
              <w:t>Ack timing must not allow silent loss.</w:t>
            </w:r>
          </w:p>
        </w:tc>
        <w:tc>
          <w:tcPr>
            <w:tcW w:type="dxa" w:w="1560"/>
            <w:vAlign w:val="top"/>
          </w:tcPr>
          <w:p>
            <w:r/>
            <w:r>
              <w:rPr>
                <w:b w:val="0"/>
                <w:sz w:val="15"/>
              </w:rPr>
              <w:t>Ack failure test</w:t>
            </w:r>
          </w:p>
        </w:tc>
        <w:tc>
          <w:tcPr>
            <w:tcW w:type="dxa" w:w="1560"/>
            <w:vAlign w:val="top"/>
          </w:tcPr>
          <w:p>
            <w:r/>
            <w:r>
              <w:rPr>
                <w:b w:val="0"/>
                <w:sz w:val="15"/>
              </w:rPr>
              <w:t>Failed sink is not treated as complete.</w:t>
            </w:r>
          </w:p>
        </w:tc>
      </w:tr>
      <w:tr>
        <w:tc>
          <w:tcPr>
            <w:tcW w:type="dxa" w:w="1560"/>
            <w:vAlign w:val="top"/>
          </w:tcPr>
          <w:p>
            <w:r/>
            <w:r>
              <w:rPr>
                <w:b w:val="0"/>
                <w:sz w:val="15"/>
              </w:rPr>
              <w:t>5</w:t>
            </w:r>
          </w:p>
        </w:tc>
        <w:tc>
          <w:tcPr>
            <w:tcW w:type="dxa" w:w="1560"/>
            <w:vAlign w:val="top"/>
          </w:tcPr>
          <w:p>
            <w:r/>
            <w:r>
              <w:rPr>
                <w:b w:val="0"/>
                <w:sz w:val="15"/>
              </w:rPr>
              <w:t>Create alert thresholds</w:t>
            </w:r>
          </w:p>
        </w:tc>
        <w:tc>
          <w:tcPr>
            <w:tcW w:type="dxa" w:w="1560"/>
            <w:vAlign w:val="top"/>
          </w:tcPr>
          <w:p>
            <w:r/>
            <w:r>
              <w:rPr>
                <w:b w:val="0"/>
                <w:sz w:val="15"/>
              </w:rPr>
              <w:t>Define alerts for imbalance, duplicates, backlog and dead-letter growth.</w:t>
            </w:r>
          </w:p>
        </w:tc>
        <w:tc>
          <w:tcPr>
            <w:tcW w:type="dxa" w:w="1560"/>
            <w:vAlign w:val="top"/>
          </w:tcPr>
          <w:p>
            <w:r/>
            <w:r>
              <w:rPr>
                <w:b w:val="0"/>
                <w:sz w:val="15"/>
              </w:rPr>
              <w:t>Financial control failures need early detection.</w:t>
            </w:r>
          </w:p>
        </w:tc>
        <w:tc>
          <w:tcPr>
            <w:tcW w:type="dxa" w:w="1560"/>
            <w:vAlign w:val="top"/>
          </w:tcPr>
          <w:p>
            <w:r/>
            <w:r>
              <w:rPr>
                <w:b w:val="0"/>
                <w:sz w:val="15"/>
              </w:rPr>
              <w:t>Alert catalogue</w:t>
            </w:r>
          </w:p>
        </w:tc>
        <w:tc>
          <w:tcPr>
            <w:tcW w:type="dxa" w:w="1560"/>
            <w:vAlign w:val="top"/>
          </w:tcPr>
          <w:p>
            <w:r/>
            <w:r>
              <w:rPr>
                <w:b w:val="0"/>
                <w:sz w:val="15"/>
              </w:rPr>
              <w:t>Threshold, owner and response exist.</w:t>
            </w:r>
          </w:p>
        </w:tc>
      </w:tr>
    </w:tbl>
    <w:p>
      <w:r>
        <w:rPr>
          <w:b/>
        </w:rPr>
        <w:t xml:space="preserve">Execution logic and reasoning chain: </w:t>
      </w:r>
      <w:r>
        <w:t>define the processing/control boundary → create deterministic evidence → introduce event flow without changing business authority → validate with measurable controls → retain artefacts for replay, audit and the next day. This ordering is intentional: observability and cloud scale are added only after correctness is measurable.</w:t>
      </w:r>
    </w:p>
    <w:p>
      <w:r>
        <w:rPr>
          <w:b/>
        </w:rPr>
        <w:t xml:space="preserve">Minimum evidence to retain: </w:t>
      </w:r>
      <w:r>
        <w:t>Logs/metrics/traces + ack evidence; test output; one representative trace; any failure/recovery evidence; and the source/config version used.</w:t>
      </w:r>
    </w:p>
    <w:p>
      <w:pPr>
        <w:spacing w:before="160" w:after="80"/>
      </w:pPr>
      <w:r>
        <w:rPr>
          <w:b/>
          <w:color w:val="1F4E79"/>
          <w:sz w:val="26"/>
        </w:rPr>
        <w:t>Day 17 — Batch Backfill/Replay &amp; Stream Recovery — Idempotency, Duplicate Handling &amp; Failure Recovery</w:t>
      </w:r>
    </w:p>
    <w:p>
      <w:r>
        <w:rPr>
          <w:b/>
        </w:rPr>
        <w:t xml:space="preserve">Project context: </w:t>
      </w:r>
      <w:r>
        <w:t xml:space="preserve">ReconAI. </w:t>
      </w:r>
      <w:r>
        <w:rPr>
          <w:b/>
        </w:rPr>
        <w:t xml:space="preserve">Source code: </w:t>
      </w:r>
      <w:r>
        <w:t xml:space="preserve">04_SOURCE_CODE/src/projects/reconai/assignment_pipeline.py. </w:t>
      </w:r>
      <w:r>
        <w:rPr>
          <w:b/>
        </w:rPr>
        <w:t xml:space="preserve">Cloud mapping: </w:t>
      </w:r>
      <w:r>
        <w:t>Cloud Storage/BigQuery + Dataflow batch; Pub/Sub/Dataflow stream; BigQuery sink.</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top"/>
            <w:shd w:fill="2F75B5"/>
          </w:tcPr>
          <w:p>
            <w:r/>
            <w:r>
              <w:rPr>
                <w:b/>
                <w:color w:val="FFFFFF"/>
                <w:sz w:val="16"/>
              </w:rPr>
              <w:t>Step</w:t>
            </w:r>
          </w:p>
        </w:tc>
        <w:tc>
          <w:tcPr>
            <w:tcW w:type="dxa" w:w="1560"/>
            <w:vAlign w:val="top"/>
            <w:shd w:fill="2F75B5"/>
          </w:tcPr>
          <w:p>
            <w:r/>
            <w:r>
              <w:rPr>
                <w:b/>
                <w:color w:val="FFFFFF"/>
                <w:sz w:val="16"/>
              </w:rPr>
              <w:t>What to perform</w:t>
            </w:r>
          </w:p>
        </w:tc>
        <w:tc>
          <w:tcPr>
            <w:tcW w:type="dxa" w:w="1560"/>
            <w:vAlign w:val="top"/>
            <w:shd w:fill="2F75B5"/>
          </w:tcPr>
          <w:p>
            <w:r/>
            <w:r>
              <w:rPr>
                <w:b/>
                <w:color w:val="FFFFFF"/>
                <w:sz w:val="16"/>
              </w:rPr>
              <w:t>How to perform</w:t>
            </w:r>
          </w:p>
        </w:tc>
        <w:tc>
          <w:tcPr>
            <w:tcW w:type="dxa" w:w="1560"/>
            <w:vAlign w:val="top"/>
            <w:shd w:fill="2F75B5"/>
          </w:tcPr>
          <w:p>
            <w:r/>
            <w:r>
              <w:rPr>
                <w:b/>
                <w:color w:val="FFFFFF"/>
                <w:sz w:val="16"/>
              </w:rPr>
              <w:t>Why this step is required</w:t>
            </w:r>
          </w:p>
        </w:tc>
        <w:tc>
          <w:tcPr>
            <w:tcW w:type="dxa" w:w="1560"/>
            <w:vAlign w:val="top"/>
            <w:shd w:fill="2F75B5"/>
          </w:tcPr>
          <w:p>
            <w:r/>
            <w:r>
              <w:rPr>
                <w:b/>
                <w:color w:val="FFFFFF"/>
                <w:sz w:val="16"/>
              </w:rPr>
              <w:t>Expected output</w:t>
            </w:r>
          </w:p>
        </w:tc>
        <w:tc>
          <w:tcPr>
            <w:tcW w:type="dxa" w:w="1560"/>
            <w:vAlign w:val="top"/>
            <w:shd w:fill="2F75B5"/>
          </w:tcPr>
          <w:p>
            <w:r/>
            <w:r>
              <w:rPr>
                <w:b/>
                <w:color w:val="FFFFFF"/>
                <w:sz w:val="16"/>
              </w:rPr>
              <w:t>Validation / acceptance evidence</w:t>
            </w:r>
          </w:p>
        </w:tc>
      </w:tr>
      <w:tr>
        <w:tc>
          <w:tcPr>
            <w:tcW w:type="dxa" w:w="1560"/>
            <w:vAlign w:val="top"/>
          </w:tcPr>
          <w:p>
            <w:r/>
            <w:r>
              <w:rPr>
                <w:b w:val="0"/>
                <w:sz w:val="15"/>
              </w:rPr>
              <w:t>1</w:t>
            </w:r>
          </w:p>
        </w:tc>
        <w:tc>
          <w:tcPr>
            <w:tcW w:type="dxa" w:w="1560"/>
            <w:vAlign w:val="top"/>
          </w:tcPr>
          <w:p>
            <w:r/>
            <w:r>
              <w:rPr>
                <w:b w:val="0"/>
                <w:sz w:val="15"/>
              </w:rPr>
              <w:t>Replay a prior batch</w:t>
            </w:r>
          </w:p>
        </w:tc>
        <w:tc>
          <w:tcPr>
            <w:tcW w:type="dxa" w:w="1560"/>
            <w:vAlign w:val="top"/>
          </w:tcPr>
          <w:p>
            <w:r/>
            <w:r>
              <w:rPr>
                <w:b w:val="0"/>
                <w:sz w:val="15"/>
              </w:rPr>
              <w:t>Re-run a historical input version with controlled run ID.</w:t>
            </w:r>
          </w:p>
        </w:tc>
        <w:tc>
          <w:tcPr>
            <w:tcW w:type="dxa" w:w="1560"/>
            <w:vAlign w:val="top"/>
          </w:tcPr>
          <w:p>
            <w:r/>
            <w:r>
              <w:rPr>
                <w:b w:val="0"/>
                <w:sz w:val="15"/>
              </w:rPr>
              <w:t>Late feeds and logic corrections require replay.</w:t>
            </w:r>
          </w:p>
        </w:tc>
        <w:tc>
          <w:tcPr>
            <w:tcW w:type="dxa" w:w="1560"/>
            <w:vAlign w:val="top"/>
          </w:tcPr>
          <w:p>
            <w:r/>
            <w:r>
              <w:rPr>
                <w:b w:val="0"/>
                <w:sz w:val="15"/>
              </w:rPr>
              <w:t>Replay run</w:t>
            </w:r>
          </w:p>
        </w:tc>
        <w:tc>
          <w:tcPr>
            <w:tcW w:type="dxa" w:w="1560"/>
            <w:vAlign w:val="top"/>
          </w:tcPr>
          <w:p>
            <w:r/>
            <w:r>
              <w:rPr>
                <w:b w:val="0"/>
                <w:sz w:val="15"/>
              </w:rPr>
              <w:t>Historical result is reproducible.</w:t>
            </w:r>
          </w:p>
        </w:tc>
      </w:tr>
      <w:tr>
        <w:tc>
          <w:tcPr>
            <w:tcW w:type="dxa" w:w="1560"/>
            <w:vAlign w:val="top"/>
          </w:tcPr>
          <w:p>
            <w:r/>
            <w:r>
              <w:rPr>
                <w:b w:val="0"/>
                <w:sz w:val="15"/>
              </w:rPr>
              <w:t>2</w:t>
            </w:r>
          </w:p>
        </w:tc>
        <w:tc>
          <w:tcPr>
            <w:tcW w:type="dxa" w:w="1560"/>
            <w:vAlign w:val="top"/>
          </w:tcPr>
          <w:p>
            <w:r/>
            <w:r>
              <w:rPr>
                <w:b w:val="0"/>
                <w:sz w:val="15"/>
              </w:rPr>
              <w:t>Inject duplicate settlement rows</w:t>
            </w:r>
          </w:p>
        </w:tc>
        <w:tc>
          <w:tcPr>
            <w:tcW w:type="dxa" w:w="1560"/>
            <w:vAlign w:val="top"/>
          </w:tcPr>
          <w:p>
            <w:r/>
            <w:r>
              <w:rPr>
                <w:b w:val="0"/>
                <w:sz w:val="15"/>
              </w:rPr>
              <w:t>Use duplicate_settlement.csv and verify quarantine.</w:t>
            </w:r>
          </w:p>
        </w:tc>
        <w:tc>
          <w:tcPr>
            <w:tcW w:type="dxa" w:w="1560"/>
            <w:vAlign w:val="top"/>
          </w:tcPr>
          <w:p>
            <w:r/>
            <w:r>
              <w:rPr>
                <w:b w:val="0"/>
                <w:sz w:val="15"/>
              </w:rPr>
              <w:t>Known fixture tests a major recon failure mode.</w:t>
            </w:r>
          </w:p>
        </w:tc>
        <w:tc>
          <w:tcPr>
            <w:tcW w:type="dxa" w:w="1560"/>
            <w:vAlign w:val="top"/>
          </w:tcPr>
          <w:p>
            <w:r/>
            <w:r>
              <w:rPr>
                <w:b w:val="0"/>
                <w:sz w:val="15"/>
              </w:rPr>
              <w:t>Duplicate test</w:t>
            </w:r>
          </w:p>
        </w:tc>
        <w:tc>
          <w:tcPr>
            <w:tcW w:type="dxa" w:w="1560"/>
            <w:vAlign w:val="top"/>
          </w:tcPr>
          <w:p>
            <w:r/>
            <w:r>
              <w:rPr>
                <w:b w:val="0"/>
                <w:sz w:val="15"/>
              </w:rPr>
              <w:t>No false match occurs.</w:t>
            </w:r>
          </w:p>
        </w:tc>
      </w:tr>
      <w:tr>
        <w:tc>
          <w:tcPr>
            <w:tcW w:type="dxa" w:w="1560"/>
            <w:vAlign w:val="top"/>
          </w:tcPr>
          <w:p>
            <w:r/>
            <w:r>
              <w:rPr>
                <w:b w:val="0"/>
                <w:sz w:val="15"/>
              </w:rPr>
              <w:t>3</w:t>
            </w:r>
          </w:p>
        </w:tc>
        <w:tc>
          <w:tcPr>
            <w:tcW w:type="dxa" w:w="1560"/>
            <w:vAlign w:val="top"/>
          </w:tcPr>
          <w:p>
            <w:r/>
            <w:r>
              <w:rPr>
                <w:b w:val="0"/>
                <w:sz w:val="15"/>
              </w:rPr>
              <w:t>Inject duplicate exception messages</w:t>
            </w:r>
          </w:p>
        </w:tc>
        <w:tc>
          <w:tcPr>
            <w:tcW w:type="dxa" w:w="1560"/>
            <w:vAlign w:val="top"/>
          </w:tcPr>
          <w:p>
            <w:r/>
            <w:r>
              <w:rPr>
                <w:b w:val="0"/>
                <w:sz w:val="15"/>
              </w:rPr>
              <w:t>Redeliver same exception_id and verify one durable case.</w:t>
            </w:r>
          </w:p>
        </w:tc>
        <w:tc>
          <w:tcPr>
            <w:tcW w:type="dxa" w:w="1560"/>
            <w:vAlign w:val="top"/>
          </w:tcPr>
          <w:p>
            <w:r/>
            <w:r>
              <w:rPr>
                <w:b w:val="0"/>
                <w:sz w:val="15"/>
              </w:rPr>
              <w:t>Message redelivery must not duplicate investigation work.</w:t>
            </w:r>
          </w:p>
        </w:tc>
        <w:tc>
          <w:tcPr>
            <w:tcW w:type="dxa" w:w="1560"/>
            <w:vAlign w:val="top"/>
          </w:tcPr>
          <w:p>
            <w:r/>
            <w:r>
              <w:rPr>
                <w:b w:val="0"/>
                <w:sz w:val="15"/>
              </w:rPr>
              <w:t>Idempotency evidence</w:t>
            </w:r>
          </w:p>
        </w:tc>
        <w:tc>
          <w:tcPr>
            <w:tcW w:type="dxa" w:w="1560"/>
            <w:vAlign w:val="top"/>
          </w:tcPr>
          <w:p>
            <w:r/>
            <w:r>
              <w:rPr>
                <w:b w:val="0"/>
                <w:sz w:val="15"/>
              </w:rPr>
              <w:t>One exception_id = one case.</w:t>
            </w:r>
          </w:p>
        </w:tc>
      </w:tr>
      <w:tr>
        <w:tc>
          <w:tcPr>
            <w:tcW w:type="dxa" w:w="1560"/>
            <w:vAlign w:val="top"/>
          </w:tcPr>
          <w:p>
            <w:r/>
            <w:r>
              <w:rPr>
                <w:b w:val="0"/>
                <w:sz w:val="15"/>
              </w:rPr>
              <w:t>4</w:t>
            </w:r>
          </w:p>
        </w:tc>
        <w:tc>
          <w:tcPr>
            <w:tcW w:type="dxa" w:w="1560"/>
            <w:vAlign w:val="top"/>
          </w:tcPr>
          <w:p>
            <w:r/>
            <w:r>
              <w:rPr>
                <w:b w:val="0"/>
                <w:sz w:val="15"/>
              </w:rPr>
              <w:t>Verify rollback/recovery</w:t>
            </w:r>
          </w:p>
        </w:tc>
        <w:tc>
          <w:tcPr>
            <w:tcW w:type="dxa" w:w="1560"/>
            <w:vAlign w:val="top"/>
          </w:tcPr>
          <w:p>
            <w:r/>
            <w:r>
              <w:rPr>
                <w:b w:val="0"/>
                <w:sz w:val="15"/>
              </w:rPr>
              <w:t>Revert a bad config/deployment and reprocess from known inputs/events.</w:t>
            </w:r>
          </w:p>
        </w:tc>
        <w:tc>
          <w:tcPr>
            <w:tcW w:type="dxa" w:w="1560"/>
            <w:vAlign w:val="top"/>
          </w:tcPr>
          <w:p>
            <w:r/>
            <w:r>
              <w:rPr>
                <w:b w:val="0"/>
                <w:sz w:val="15"/>
              </w:rPr>
              <w:t>Rollback must restore correctness without losing audit trail.</w:t>
            </w:r>
          </w:p>
        </w:tc>
        <w:tc>
          <w:tcPr>
            <w:tcW w:type="dxa" w:w="1560"/>
            <w:vAlign w:val="top"/>
          </w:tcPr>
          <w:p>
            <w:r/>
            <w:r>
              <w:rPr>
                <w:b w:val="0"/>
                <w:sz w:val="15"/>
              </w:rPr>
              <w:t>Rollback evidence</w:t>
            </w:r>
          </w:p>
        </w:tc>
        <w:tc>
          <w:tcPr>
            <w:tcW w:type="dxa" w:w="1560"/>
            <w:vAlign w:val="top"/>
          </w:tcPr>
          <w:p>
            <w:r/>
            <w:r>
              <w:rPr>
                <w:b w:val="0"/>
                <w:sz w:val="15"/>
              </w:rPr>
              <w:t>Controls reconcile after rollback.</w:t>
            </w:r>
          </w:p>
        </w:tc>
      </w:tr>
      <w:tr>
        <w:tc>
          <w:tcPr>
            <w:tcW w:type="dxa" w:w="1560"/>
            <w:vAlign w:val="top"/>
          </w:tcPr>
          <w:p>
            <w:r/>
            <w:r>
              <w:rPr>
                <w:b w:val="0"/>
                <w:sz w:val="15"/>
              </w:rPr>
              <w:t>5</w:t>
            </w:r>
          </w:p>
        </w:tc>
        <w:tc>
          <w:tcPr>
            <w:tcW w:type="dxa" w:w="1560"/>
            <w:vAlign w:val="top"/>
          </w:tcPr>
          <w:p>
            <w:r/>
            <w:r>
              <w:rPr>
                <w:b w:val="0"/>
                <w:sz w:val="15"/>
              </w:rPr>
              <w:t>Document operator replay</w:t>
            </w:r>
          </w:p>
        </w:tc>
        <w:tc>
          <w:tcPr>
            <w:tcW w:type="dxa" w:w="1560"/>
            <w:vAlign w:val="top"/>
          </w:tcPr>
          <w:p>
            <w:r/>
            <w:r>
              <w:rPr>
                <w:b w:val="0"/>
                <w:sz w:val="15"/>
              </w:rPr>
              <w:t>Write approvals, pre-checks, replay method and post-checks.</w:t>
            </w:r>
          </w:p>
        </w:tc>
        <w:tc>
          <w:tcPr>
            <w:tcW w:type="dxa" w:w="1560"/>
            <w:vAlign w:val="top"/>
          </w:tcPr>
          <w:p>
            <w:r/>
            <w:r>
              <w:rPr>
                <w:b w:val="0"/>
                <w:sz w:val="15"/>
              </w:rPr>
              <w:t>Financial replays need controlled authorization and validation.</w:t>
            </w:r>
          </w:p>
        </w:tc>
        <w:tc>
          <w:tcPr>
            <w:tcW w:type="dxa" w:w="1560"/>
            <w:vAlign w:val="top"/>
          </w:tcPr>
          <w:p>
            <w:r/>
            <w:r>
              <w:rPr>
                <w:b w:val="0"/>
                <w:sz w:val="15"/>
              </w:rPr>
              <w:t>Replay runbook</w:t>
            </w:r>
          </w:p>
        </w:tc>
        <w:tc>
          <w:tcPr>
            <w:tcW w:type="dxa" w:w="1560"/>
            <w:vAlign w:val="top"/>
          </w:tcPr>
          <w:p>
            <w:r/>
            <w:r>
              <w:rPr>
                <w:b w:val="0"/>
                <w:sz w:val="15"/>
              </w:rPr>
              <w:t>Procedure is complete and auditable.</w:t>
            </w:r>
          </w:p>
        </w:tc>
      </w:tr>
    </w:tbl>
    <w:p>
      <w:r>
        <w:rPr>
          <w:b/>
        </w:rPr>
        <w:t xml:space="preserve">Execution logic and reasoning chain: </w:t>
      </w:r>
      <w:r>
        <w:t>define the processing/control boundary → create deterministic evidence → introduce event flow without changing business authority → validate with measurable controls → retain artefacts for replay, audit and the next day. This ordering is intentional: observability and cloud scale are added only after correctness is measurable.</w:t>
      </w:r>
    </w:p>
    <w:p>
      <w:r>
        <w:rPr>
          <w:b/>
        </w:rPr>
        <w:t xml:space="preserve">Minimum evidence to retain: </w:t>
      </w:r>
      <w:r>
        <w:t>Replay/idempotency/recovery evidence; test output; one representative trace; any failure/recovery evidence; and the source/config version used.</w:t>
      </w:r>
    </w:p>
    <w:p>
      <w:pPr>
        <w:spacing w:before="160" w:after="80"/>
      </w:pPr>
      <w:r>
        <w:rPr>
          <w:b/>
          <w:color w:val="1F4E79"/>
          <w:sz w:val="26"/>
        </w:rPr>
        <w:t>Day 18 — Batch/Stream Production Readiness — Cutover, Rollback, Governance &amp; Release Validation</w:t>
      </w:r>
    </w:p>
    <w:p>
      <w:r>
        <w:rPr>
          <w:b/>
        </w:rPr>
        <w:t xml:space="preserve">Project context: </w:t>
      </w:r>
      <w:r>
        <w:t xml:space="preserve">ReconAI. </w:t>
      </w:r>
      <w:r>
        <w:rPr>
          <w:b/>
        </w:rPr>
        <w:t xml:space="preserve">Source code: </w:t>
      </w:r>
      <w:r>
        <w:t xml:space="preserve">04_SOURCE_CODE/src/projects/reconai/assignment_pipeline.py. </w:t>
      </w:r>
      <w:r>
        <w:rPr>
          <w:b/>
        </w:rPr>
        <w:t xml:space="preserve">Cloud mapping: </w:t>
      </w:r>
      <w:r>
        <w:t>Cloud Storage/BigQuery + Dataflow batch; Pub/Sub/Dataflow stream; BigQuery sink.</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top"/>
            <w:shd w:fill="2F75B5"/>
          </w:tcPr>
          <w:p>
            <w:r/>
            <w:r>
              <w:rPr>
                <w:b/>
                <w:color w:val="FFFFFF"/>
                <w:sz w:val="16"/>
              </w:rPr>
              <w:t>Step</w:t>
            </w:r>
          </w:p>
        </w:tc>
        <w:tc>
          <w:tcPr>
            <w:tcW w:type="dxa" w:w="1560"/>
            <w:vAlign w:val="top"/>
            <w:shd w:fill="2F75B5"/>
          </w:tcPr>
          <w:p>
            <w:r/>
            <w:r>
              <w:rPr>
                <w:b/>
                <w:color w:val="FFFFFF"/>
                <w:sz w:val="16"/>
              </w:rPr>
              <w:t>What to perform</w:t>
            </w:r>
          </w:p>
        </w:tc>
        <w:tc>
          <w:tcPr>
            <w:tcW w:type="dxa" w:w="1560"/>
            <w:vAlign w:val="top"/>
            <w:shd w:fill="2F75B5"/>
          </w:tcPr>
          <w:p>
            <w:r/>
            <w:r>
              <w:rPr>
                <w:b/>
                <w:color w:val="FFFFFF"/>
                <w:sz w:val="16"/>
              </w:rPr>
              <w:t>How to perform</w:t>
            </w:r>
          </w:p>
        </w:tc>
        <w:tc>
          <w:tcPr>
            <w:tcW w:type="dxa" w:w="1560"/>
            <w:vAlign w:val="top"/>
            <w:shd w:fill="2F75B5"/>
          </w:tcPr>
          <w:p>
            <w:r/>
            <w:r>
              <w:rPr>
                <w:b/>
                <w:color w:val="FFFFFF"/>
                <w:sz w:val="16"/>
              </w:rPr>
              <w:t>Why this step is required</w:t>
            </w:r>
          </w:p>
        </w:tc>
        <w:tc>
          <w:tcPr>
            <w:tcW w:type="dxa" w:w="1560"/>
            <w:vAlign w:val="top"/>
            <w:shd w:fill="2F75B5"/>
          </w:tcPr>
          <w:p>
            <w:r/>
            <w:r>
              <w:rPr>
                <w:b/>
                <w:color w:val="FFFFFF"/>
                <w:sz w:val="16"/>
              </w:rPr>
              <w:t>Expected output</w:t>
            </w:r>
          </w:p>
        </w:tc>
        <w:tc>
          <w:tcPr>
            <w:tcW w:type="dxa" w:w="1560"/>
            <w:vAlign w:val="top"/>
            <w:shd w:fill="2F75B5"/>
          </w:tcPr>
          <w:p>
            <w:r/>
            <w:r>
              <w:rPr>
                <w:b/>
                <w:color w:val="FFFFFF"/>
                <w:sz w:val="16"/>
              </w:rPr>
              <w:t>Validation / acceptance evidence</w:t>
            </w:r>
          </w:p>
        </w:tc>
      </w:tr>
      <w:tr>
        <w:tc>
          <w:tcPr>
            <w:tcW w:type="dxa" w:w="1560"/>
            <w:vAlign w:val="top"/>
          </w:tcPr>
          <w:p>
            <w:r/>
            <w:r>
              <w:rPr>
                <w:b w:val="0"/>
                <w:sz w:val="15"/>
              </w:rPr>
              <w:t>1</w:t>
            </w:r>
          </w:p>
        </w:tc>
        <w:tc>
          <w:tcPr>
            <w:tcW w:type="dxa" w:w="1560"/>
            <w:vAlign w:val="top"/>
          </w:tcPr>
          <w:p>
            <w:r/>
            <w:r>
              <w:rPr>
                <w:b w:val="0"/>
                <w:sz w:val="15"/>
              </w:rPr>
              <w:t>Run final golden/regression</w:t>
            </w:r>
          </w:p>
        </w:tc>
        <w:tc>
          <w:tcPr>
            <w:tcW w:type="dxa" w:w="1560"/>
            <w:vAlign w:val="top"/>
          </w:tcPr>
          <w:p>
            <w:r/>
            <w:r>
              <w:rPr>
                <w:b w:val="0"/>
                <w:sz w:val="15"/>
              </w:rPr>
              <w:t>Execute all match, duplicate, amount and stream tests.</w:t>
            </w:r>
          </w:p>
        </w:tc>
        <w:tc>
          <w:tcPr>
            <w:tcW w:type="dxa" w:w="1560"/>
            <w:vAlign w:val="top"/>
          </w:tcPr>
          <w:p>
            <w:r/>
            <w:r>
              <w:rPr>
                <w:b w:val="0"/>
                <w:sz w:val="15"/>
              </w:rPr>
              <w:t>Final sign-off needs complete deterministic and event evidence.</w:t>
            </w:r>
          </w:p>
        </w:tc>
        <w:tc>
          <w:tcPr>
            <w:tcW w:type="dxa" w:w="1560"/>
            <w:vAlign w:val="top"/>
          </w:tcPr>
          <w:p>
            <w:r/>
            <w:r>
              <w:rPr>
                <w:b w:val="0"/>
                <w:sz w:val="15"/>
              </w:rPr>
              <w:t>Final test report</w:t>
            </w:r>
          </w:p>
        </w:tc>
        <w:tc>
          <w:tcPr>
            <w:tcW w:type="dxa" w:w="1560"/>
            <w:vAlign w:val="top"/>
          </w:tcPr>
          <w:p>
            <w:r/>
            <w:r>
              <w:rPr>
                <w:b w:val="0"/>
                <w:sz w:val="15"/>
              </w:rPr>
              <w:t>All mandatory cases pass.</w:t>
            </w:r>
          </w:p>
        </w:tc>
      </w:tr>
      <w:tr>
        <w:tc>
          <w:tcPr>
            <w:tcW w:type="dxa" w:w="1560"/>
            <w:vAlign w:val="top"/>
          </w:tcPr>
          <w:p>
            <w:r/>
            <w:r>
              <w:rPr>
                <w:b w:val="0"/>
                <w:sz w:val="15"/>
              </w:rPr>
              <w:t>2</w:t>
            </w:r>
          </w:p>
        </w:tc>
        <w:tc>
          <w:tcPr>
            <w:tcW w:type="dxa" w:w="1560"/>
            <w:vAlign w:val="top"/>
          </w:tcPr>
          <w:p>
            <w:r/>
            <w:r>
              <w:rPr>
                <w:b w:val="0"/>
                <w:sz w:val="15"/>
              </w:rPr>
              <w:t>Reconcile batch and event outputs</w:t>
            </w:r>
          </w:p>
        </w:tc>
        <w:tc>
          <w:tcPr>
            <w:tcW w:type="dxa" w:w="1560"/>
            <w:vAlign w:val="top"/>
          </w:tcPr>
          <w:p>
            <w:r/>
            <w:r>
              <w:rPr>
                <w:b w:val="0"/>
                <w:sz w:val="15"/>
              </w:rPr>
              <w:t>Compare status counts, exception IDs and durable sink rows.</w:t>
            </w:r>
          </w:p>
        </w:tc>
        <w:tc>
          <w:tcPr>
            <w:tcW w:type="dxa" w:w="1560"/>
            <w:vAlign w:val="top"/>
          </w:tcPr>
          <w:p>
            <w:r/>
            <w:r>
              <w:rPr>
                <w:b w:val="0"/>
                <w:sz w:val="15"/>
              </w:rPr>
              <w:t>The stream must neither miss nor invent exceptions.</w:t>
            </w:r>
          </w:p>
        </w:tc>
        <w:tc>
          <w:tcPr>
            <w:tcW w:type="dxa" w:w="1560"/>
            <w:vAlign w:val="top"/>
          </w:tcPr>
          <w:p>
            <w:r/>
            <w:r>
              <w:rPr>
                <w:b w:val="0"/>
                <w:sz w:val="15"/>
              </w:rPr>
              <w:t>Final control report</w:t>
            </w:r>
          </w:p>
        </w:tc>
        <w:tc>
          <w:tcPr>
            <w:tcW w:type="dxa" w:w="1560"/>
            <w:vAlign w:val="top"/>
          </w:tcPr>
          <w:p>
            <w:r/>
            <w:r>
              <w:rPr>
                <w:b w:val="0"/>
                <w:sz w:val="15"/>
              </w:rPr>
              <w:t>All actionable states reconcile.</w:t>
            </w:r>
          </w:p>
        </w:tc>
      </w:tr>
      <w:tr>
        <w:tc>
          <w:tcPr>
            <w:tcW w:type="dxa" w:w="1560"/>
            <w:vAlign w:val="top"/>
          </w:tcPr>
          <w:p>
            <w:r/>
            <w:r>
              <w:rPr>
                <w:b w:val="0"/>
                <w:sz w:val="15"/>
              </w:rPr>
              <w:t>3</w:t>
            </w:r>
          </w:p>
        </w:tc>
        <w:tc>
          <w:tcPr>
            <w:tcW w:type="dxa" w:w="1560"/>
            <w:vAlign w:val="top"/>
          </w:tcPr>
          <w:p>
            <w:r/>
            <w:r>
              <w:rPr>
                <w:b w:val="0"/>
                <w:sz w:val="15"/>
              </w:rPr>
              <w:t>Validate GCP IAM/resource map</w:t>
            </w:r>
          </w:p>
        </w:tc>
        <w:tc>
          <w:tcPr>
            <w:tcW w:type="dxa" w:w="1560"/>
            <w:vAlign w:val="top"/>
          </w:tcPr>
          <w:p>
            <w:r/>
            <w:r>
              <w:rPr>
                <w:b w:val="0"/>
                <w:sz w:val="15"/>
              </w:rPr>
              <w:t>Review Dataflow, Pub/Sub, BigQuery and identities per environment.</w:t>
            </w:r>
          </w:p>
        </w:tc>
        <w:tc>
          <w:tcPr>
            <w:tcW w:type="dxa" w:w="1560"/>
            <w:vAlign w:val="top"/>
          </w:tcPr>
          <w:p>
            <w:r/>
            <w:r>
              <w:rPr>
                <w:b w:val="0"/>
                <w:sz w:val="15"/>
              </w:rPr>
              <w:t>Production readiness includes least privilege and environment separation.</w:t>
            </w:r>
          </w:p>
        </w:tc>
        <w:tc>
          <w:tcPr>
            <w:tcW w:type="dxa" w:w="1560"/>
            <w:vAlign w:val="top"/>
          </w:tcPr>
          <w:p>
            <w:r/>
            <w:r>
              <w:rPr>
                <w:b w:val="0"/>
                <w:sz w:val="15"/>
              </w:rPr>
              <w:t>Cloud control matrix</w:t>
            </w:r>
          </w:p>
        </w:tc>
        <w:tc>
          <w:tcPr>
            <w:tcW w:type="dxa" w:w="1560"/>
            <w:vAlign w:val="top"/>
          </w:tcPr>
          <w:p>
            <w:r/>
            <w:r>
              <w:rPr>
                <w:b w:val="0"/>
                <w:sz w:val="15"/>
              </w:rPr>
              <w:t>No undefined identity/permission.</w:t>
            </w:r>
          </w:p>
        </w:tc>
      </w:tr>
      <w:tr>
        <w:tc>
          <w:tcPr>
            <w:tcW w:type="dxa" w:w="1560"/>
            <w:vAlign w:val="top"/>
          </w:tcPr>
          <w:p>
            <w:r/>
            <w:r>
              <w:rPr>
                <w:b w:val="0"/>
                <w:sz w:val="15"/>
              </w:rPr>
              <w:t>4</w:t>
            </w:r>
          </w:p>
        </w:tc>
        <w:tc>
          <w:tcPr>
            <w:tcW w:type="dxa" w:w="1560"/>
            <w:vAlign w:val="top"/>
          </w:tcPr>
          <w:p>
            <w:r/>
            <w:r>
              <w:rPr>
                <w:b w:val="0"/>
                <w:sz w:val="15"/>
              </w:rPr>
              <w:t>Validate replay/rollback evidence</w:t>
            </w:r>
          </w:p>
        </w:tc>
        <w:tc>
          <w:tcPr>
            <w:tcW w:type="dxa" w:w="1560"/>
            <w:vAlign w:val="top"/>
          </w:tcPr>
          <w:p>
            <w:r/>
            <w:r>
              <w:rPr>
                <w:b w:val="0"/>
                <w:sz w:val="15"/>
              </w:rPr>
              <w:t>Demonstrate recovery without duplicate business effect.</w:t>
            </w:r>
          </w:p>
        </w:tc>
        <w:tc>
          <w:tcPr>
            <w:tcW w:type="dxa" w:w="1560"/>
            <w:vAlign w:val="top"/>
          </w:tcPr>
          <w:p>
            <w:r/>
            <w:r>
              <w:rPr>
                <w:b w:val="0"/>
                <w:sz w:val="15"/>
              </w:rPr>
              <w:t>Recoverability must be proven.</w:t>
            </w:r>
          </w:p>
        </w:tc>
        <w:tc>
          <w:tcPr>
            <w:tcW w:type="dxa" w:w="1560"/>
            <w:vAlign w:val="top"/>
          </w:tcPr>
          <w:p>
            <w:r/>
            <w:r>
              <w:rPr>
                <w:b w:val="0"/>
                <w:sz w:val="15"/>
              </w:rPr>
              <w:t>Recovery evidence</w:t>
            </w:r>
          </w:p>
        </w:tc>
        <w:tc>
          <w:tcPr>
            <w:tcW w:type="dxa" w:w="1560"/>
            <w:vAlign w:val="top"/>
          </w:tcPr>
          <w:p>
            <w:r/>
            <w:r>
              <w:rPr>
                <w:b w:val="0"/>
                <w:sz w:val="15"/>
              </w:rPr>
              <w:t>Replay/rollback passes controls.</w:t>
            </w:r>
          </w:p>
        </w:tc>
      </w:tr>
      <w:tr>
        <w:tc>
          <w:tcPr>
            <w:tcW w:type="dxa" w:w="1560"/>
            <w:vAlign w:val="top"/>
          </w:tcPr>
          <w:p>
            <w:r/>
            <w:r>
              <w:rPr>
                <w:b w:val="0"/>
                <w:sz w:val="15"/>
              </w:rPr>
              <w:t>5</w:t>
            </w:r>
          </w:p>
        </w:tc>
        <w:tc>
          <w:tcPr>
            <w:tcW w:type="dxa" w:w="1560"/>
            <w:vAlign w:val="top"/>
          </w:tcPr>
          <w:p>
            <w:r/>
            <w:r>
              <w:rPr>
                <w:b w:val="0"/>
                <w:sz w:val="15"/>
              </w:rPr>
              <w:t>Obtain reviewer sign-off</w:t>
            </w:r>
          </w:p>
        </w:tc>
        <w:tc>
          <w:tcPr>
            <w:tcW w:type="dxa" w:w="1560"/>
            <w:vAlign w:val="top"/>
          </w:tcPr>
          <w:p>
            <w:r/>
            <w:r>
              <w:rPr>
                <w:b w:val="0"/>
                <w:sz w:val="15"/>
              </w:rPr>
              <w:t>Package controls, tests, architecture, gaps and human boundary.</w:t>
            </w:r>
          </w:p>
        </w:tc>
        <w:tc>
          <w:tcPr>
            <w:tcW w:type="dxa" w:w="1560"/>
            <w:vAlign w:val="top"/>
          </w:tcPr>
          <w:p>
            <w:r/>
            <w:r>
              <w:rPr>
                <w:b w:val="0"/>
                <w:sz w:val="15"/>
              </w:rPr>
              <w:t>Reconciliation changes require accountable approval.</w:t>
            </w:r>
          </w:p>
        </w:tc>
        <w:tc>
          <w:tcPr>
            <w:tcW w:type="dxa" w:w="1560"/>
            <w:vAlign w:val="top"/>
          </w:tcPr>
          <w:p>
            <w:r/>
            <w:r>
              <w:rPr>
                <w:b w:val="0"/>
                <w:sz w:val="15"/>
              </w:rPr>
              <w:t>Assignment sign-off pack</w:t>
            </w:r>
          </w:p>
        </w:tc>
        <w:tc>
          <w:tcPr>
            <w:tcW w:type="dxa" w:w="1560"/>
            <w:vAlign w:val="top"/>
          </w:tcPr>
          <w:p>
            <w:r/>
            <w:r>
              <w:rPr>
                <w:b w:val="0"/>
                <w:sz w:val="15"/>
              </w:rPr>
              <w:t>Every claim traces to evidence.</w:t>
            </w:r>
          </w:p>
        </w:tc>
      </w:tr>
    </w:tbl>
    <w:p>
      <w:r>
        <w:rPr>
          <w:b/>
        </w:rPr>
        <w:t xml:space="preserve">Execution logic and reasoning chain: </w:t>
      </w:r>
      <w:r>
        <w:t>define the processing/control boundary → create deterministic evidence → introduce event flow without changing business authority → validate with measurable controls → retain artefacts for replay, audit and the next day. This ordering is intentional: observability and cloud scale are added only after correctness is measurable.</w:t>
      </w:r>
    </w:p>
    <w:p>
      <w:r>
        <w:rPr>
          <w:b/>
        </w:rPr>
        <w:t xml:space="preserve">Minimum evidence to retain: </w:t>
      </w:r>
      <w:r>
        <w:t>Acceptance matrix + cutover/rollback + sign-off; test output; one representative trace; any failure/recovery evidence; and the source/config version used.</w:t>
      </w:r>
    </w:p>
    <w:p>
      <w:pPr>
        <w:spacing w:before="160" w:after="80"/>
      </w:pPr>
      <w:r>
        <w:rPr>
          <w:b/>
          <w:color w:val="1F4E79"/>
          <w:sz w:val="26"/>
        </w:rPr>
        <w:t>Source / Folder Mapping for the Applied Module</w:t>
      </w:r>
    </w:p>
    <w:tbl>
      <w:tblPr>
        <w:tblW w:type="auto" w:w="0"/>
        <w:tblLook w:firstColumn="1" w:firstRow="1" w:lastColumn="0" w:lastRow="0" w:noHBand="0" w:noVBand="1" w:val="04A0"/>
      </w:tblPr>
      <w:tblGrid>
        <w:gridCol w:w="3120"/>
        <w:gridCol w:w="3120"/>
        <w:gridCol w:w="3120"/>
      </w:tblGrid>
      <w:tr>
        <w:tc>
          <w:tcPr>
            <w:tcW w:type="dxa" w:w="3120"/>
            <w:vAlign w:val="top"/>
            <w:shd w:fill="17365D"/>
          </w:tcPr>
          <w:p>
            <w:r/>
            <w:r>
              <w:rPr>
                <w:b/>
                <w:color w:val="FFFFFF"/>
                <w:sz w:val="18"/>
              </w:rPr>
              <w:t>Item</w:t>
            </w:r>
          </w:p>
        </w:tc>
        <w:tc>
          <w:tcPr>
            <w:tcW w:type="dxa" w:w="3120"/>
            <w:vAlign w:val="top"/>
            <w:shd w:fill="17365D"/>
          </w:tcPr>
          <w:p>
            <w:r/>
            <w:r>
              <w:rPr>
                <w:b/>
                <w:color w:val="FFFFFF"/>
                <w:sz w:val="18"/>
              </w:rPr>
              <w:t>ZIP-relative location</w:t>
            </w:r>
          </w:p>
        </w:tc>
        <w:tc>
          <w:tcPr>
            <w:tcW w:type="dxa" w:w="3120"/>
            <w:vAlign w:val="top"/>
            <w:shd w:fill="17365D"/>
          </w:tcPr>
          <w:p>
            <w:r/>
            <w:r>
              <w:rPr>
                <w:b/>
                <w:color w:val="FFFFFF"/>
                <w:sz w:val="18"/>
              </w:rPr>
              <w:t>Why it is needed</w:t>
            </w:r>
          </w:p>
        </w:tc>
      </w:tr>
      <w:tr>
        <w:tc>
          <w:tcPr>
            <w:tcW w:type="dxa" w:w="3120"/>
            <w:vAlign w:val="top"/>
          </w:tcPr>
          <w:p>
            <w:r/>
            <w:r>
              <w:rPr>
                <w:b w:val="0"/>
                <w:sz w:val="16"/>
              </w:rPr>
              <w:t>Project source</w:t>
            </w:r>
          </w:p>
        </w:tc>
        <w:tc>
          <w:tcPr>
            <w:tcW w:type="dxa" w:w="3120"/>
            <w:vAlign w:val="top"/>
          </w:tcPr>
          <w:p>
            <w:r/>
            <w:r>
              <w:rPr>
                <w:b w:val="0"/>
                <w:sz w:val="16"/>
              </w:rPr>
              <w:t>04_SOURCE_CODE/src/projects/reconai/assignment_pipeline.py</w:t>
            </w:r>
          </w:p>
        </w:tc>
        <w:tc>
          <w:tcPr>
            <w:tcW w:type="dxa" w:w="3120"/>
            <w:vAlign w:val="top"/>
          </w:tcPr>
          <w:p>
            <w:r/>
            <w:r>
              <w:rPr>
                <w:b w:val="0"/>
                <w:sz w:val="16"/>
              </w:rPr>
              <w:t>Runnable local implementation used for the applied steps.</w:t>
            </w:r>
          </w:p>
        </w:tc>
      </w:tr>
      <w:tr>
        <w:tc>
          <w:tcPr>
            <w:tcW w:type="dxa" w:w="3120"/>
            <w:vAlign w:val="top"/>
          </w:tcPr>
          <w:p>
            <w:r/>
            <w:r>
              <w:rPr>
                <w:b w:val="0"/>
                <w:sz w:val="16"/>
              </w:rPr>
              <w:t>Automated tests</w:t>
            </w:r>
          </w:p>
        </w:tc>
        <w:tc>
          <w:tcPr>
            <w:tcW w:type="dxa" w:w="3120"/>
            <w:vAlign w:val="top"/>
          </w:tcPr>
          <w:p>
            <w:r/>
            <w:r>
              <w:rPr>
                <w:b w:val="0"/>
                <w:sz w:val="16"/>
              </w:rPr>
              <w:t>04_SOURCE_CODE/tests/test_pipelines.py</w:t>
            </w:r>
          </w:p>
        </w:tc>
        <w:tc>
          <w:tcPr>
            <w:tcW w:type="dxa" w:w="3120"/>
            <w:vAlign w:val="top"/>
          </w:tcPr>
          <w:p>
            <w:r/>
            <w:r>
              <w:rPr>
                <w:b w:val="0"/>
                <w:sz w:val="16"/>
              </w:rPr>
              <w:t>Provides repeatable regression evidence for the local pipelines.</w:t>
            </w:r>
          </w:p>
        </w:tc>
      </w:tr>
      <w:tr>
        <w:tc>
          <w:tcPr>
            <w:tcW w:type="dxa" w:w="3120"/>
            <w:vAlign w:val="top"/>
          </w:tcPr>
          <w:p>
            <w:r/>
            <w:r>
              <w:rPr>
                <w:b w:val="0"/>
                <w:sz w:val="16"/>
              </w:rPr>
              <w:t>Detailed workbook steps</w:t>
            </w:r>
          </w:p>
        </w:tc>
        <w:tc>
          <w:tcPr>
            <w:tcW w:type="dxa" w:w="3120"/>
            <w:vAlign w:val="top"/>
          </w:tcPr>
          <w:p>
            <w:r/>
            <w:r>
              <w:rPr>
                <w:b w:val="0"/>
                <w:sz w:val="16"/>
              </w:rPr>
              <w:t>01_MASTER_WORKBOOK/AI_Banking_Master_Project_Access_Map_v4_Explicit_Batch_Streaming.xlsx → STREAM-BATCH DETAILED STEPS</w:t>
            </w:r>
          </w:p>
        </w:tc>
        <w:tc>
          <w:tcPr>
            <w:tcW w:type="dxa" w:w="3120"/>
            <w:vAlign w:val="top"/>
          </w:tcPr>
          <w:p>
            <w:r/>
            <w:r>
              <w:rPr>
                <w:b w:val="0"/>
                <w:sz w:val="16"/>
              </w:rPr>
              <w:t>Single navigation point for day/project/module/step/reasoning mapping.</w:t>
            </w:r>
          </w:p>
        </w:tc>
      </w:tr>
      <w:tr>
        <w:tc>
          <w:tcPr>
            <w:tcW w:type="dxa" w:w="3120"/>
            <w:vAlign w:val="top"/>
          </w:tcPr>
          <w:p>
            <w:r/>
            <w:r>
              <w:rPr>
                <w:b w:val="0"/>
                <w:sz w:val="16"/>
              </w:rPr>
              <w:t>GCP manual</w:t>
            </w:r>
          </w:p>
        </w:tc>
        <w:tc>
          <w:tcPr>
            <w:tcW w:type="dxa" w:w="3120"/>
            <w:vAlign w:val="top"/>
          </w:tcPr>
          <w:p>
            <w:r/>
            <w:r>
              <w:rPr>
                <w:b w:val="0"/>
                <w:sz w:val="16"/>
              </w:rPr>
              <w:t>06_GCP_GUIDE/GCP_Step_by_Step_Usage_Manual.docx</w:t>
            </w:r>
          </w:p>
        </w:tc>
        <w:tc>
          <w:tcPr>
            <w:tcW w:type="dxa" w:w="3120"/>
            <w:vAlign w:val="top"/>
          </w:tcPr>
          <w:p>
            <w:r/>
            <w:r>
              <w:rPr>
                <w:b w:val="0"/>
                <w:sz w:val="16"/>
              </w:rPr>
              <w:t>Optional cloud execution path for Pub/Sub, Dataflow/Beam and BigQuery.</w:t>
            </w:r>
          </w:p>
        </w:tc>
      </w:tr>
      <w:tr>
        <w:tc>
          <w:tcPr>
            <w:tcW w:type="dxa" w:w="3120"/>
            <w:vAlign w:val="top"/>
          </w:tcPr>
          <w:p>
            <w:r/>
            <w:r>
              <w:rPr>
                <w:b w:val="0"/>
                <w:sz w:val="16"/>
              </w:rPr>
              <w:t>Training data</w:t>
            </w:r>
          </w:p>
        </w:tc>
        <w:tc>
          <w:tcPr>
            <w:tcW w:type="dxa" w:w="3120"/>
            <w:vAlign w:val="top"/>
          </w:tcPr>
          <w:p>
            <w:r/>
            <w:r>
              <w:rPr>
                <w:b w:val="0"/>
                <w:sz w:val="16"/>
              </w:rPr>
              <w:t>05_DATA/</w:t>
            </w:r>
          </w:p>
        </w:tc>
        <w:tc>
          <w:tcPr>
            <w:tcW w:type="dxa" w:w="3120"/>
            <w:vAlign w:val="top"/>
          </w:tcPr>
          <w:p>
            <w:r/>
            <w:r>
              <w:rPr>
                <w:b w:val="0"/>
                <w:sz w:val="16"/>
              </w:rPr>
              <w:t>Synthetic datasets used for deterministic local execution and test fixtures.</w:t>
            </w:r>
          </w:p>
        </w:tc>
      </w:tr>
    </w:tbl>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ReconAI | Assignment Case Study – Guided Implementation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7365D"/>
      <w:sz w:val="30"/>
      <w:szCs w:val="30"/>
    </w:rPr>
  </w:style>
  <w:style w:type="paragraph" w:styleId="Heading2">
    <w:name w:val="Heading 2"/>
    <w:basedOn w:val="Normal"/>
    <w:next w:val="Normal"/>
    <w:qFormat/>
    <w:pPr>
      <w:spacing w:after="140" w:before="200"/>
      <w:outlineLvl w:val="1"/>
    </w:pPr>
    <w:rPr>
      <w:rFonts w:ascii="Arial" w:cs="Arial" w:eastAsia="Arial" w:hAnsi="Arial"/>
      <w:b/>
      <w:bCs/>
      <w:color w:val="2F75B5"/>
      <w:sz w:val="25"/>
      <w:szCs w:val="25"/>
    </w:rPr>
  </w:style>
  <w:style w:type="paragraph" w:styleId="Heading3">
    <w:name w:val="Heading 3"/>
    <w:basedOn w:val="Normal"/>
    <w:next w:val="Normal"/>
    <w:qFormat/>
    <w:pPr>
      <w:spacing w:after="100" w:before="220"/>
      <w:outlineLvl w:val="2"/>
    </w:pPr>
    <w:rPr>
      <w:rFonts w:ascii="Arial" w:cs="Arial" w:eastAsia="Arial" w:hAnsi="Arial"/>
      <w:b/>
      <w:bCs/>
      <w:color w:val="2F75B5"/>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31530ea042d54c4b3c2126da6ac6471b08af2f1.png"/><Relationship Id="rId10" Type="http://schemas.openxmlformats.org/officeDocument/2006/relationships/image" Target="media/92e4d2e315d79728847f9e565be8c37ef31f01d3.png"/><Relationship Id="rId11" Type="http://schemas.openxmlformats.org/officeDocument/2006/relationships/image" Target="media/8d9c78162c8dab450948ea77a77fb1ba3d1189eb.png"/><Relationship Id="rId12" Type="http://schemas.openxmlformats.org/officeDocument/2006/relationships/image" Target="media/24a90d69c908da4b27b1a8a9b93d101cca304f9c.png"/><Relationship Id="rId13" Type="http://schemas.openxmlformats.org/officeDocument/2006/relationships/image" Target="media/1b1d22f6199243ebc57d859b743e7d608ad6e54f.png"/><Relationship Id="rId14" Type="http://schemas.openxmlformats.org/officeDocument/2006/relationships/image" Target="media/fb9bec7951a9ec015f73de2e1cb7e21986d80483.png"/><Relationship Id="rId15" Type="http://schemas.openxmlformats.org/officeDocument/2006/relationships/image" Target="media/19b237b67ca02bb9a3a991ac8073d43d4c437709.png"/><Relationship Id="rId16" Type="http://schemas.openxmlformats.org/officeDocument/2006/relationships/image" Target="media/b113351913f1da3f83fb2d0eecb40c6667abac3d.png"/><Relationship Id="rId17" Type="http://schemas.openxmlformats.org/officeDocument/2006/relationships/image" Target="media/196340147df7c6efbb53a278ab99797bce826e6f.png"/><Relationship Id="rId18" Type="http://schemas.openxmlformats.org/officeDocument/2006/relationships/image" Target="media/9225250274f102d7bae02d9c29f9419be419572a.png"/><Relationship Id="rId19" Type="http://schemas.openxmlformats.org/officeDocument/2006/relationships/image" Target="media/83986bf610db214e571a5c4ad6e8a0dbbd1f0852.png"/><Relationship Id="rId20" Type="http://schemas.openxmlformats.org/officeDocument/2006/relationships/image" Target="media/cd5230a9306f0a1cca5baae0e2427ddd2ca8a0a9.png"/><Relationship Id="rId21" Type="http://schemas.openxmlformats.org/officeDocument/2006/relationships/image" Target="media/9fc11e20d83f2c5d11a4b637f8408f572011f46b.png"/><Relationship Id="rId22" Type="http://schemas.openxmlformats.org/officeDocument/2006/relationships/image" Target="media/7577658158cccd4d97fc624786f4593803784ea5.png"/><Relationship Id="rId23" Type="http://schemas.openxmlformats.org/officeDocument/2006/relationships/image" Target="media/4b11bb3c5dbed2a92189f86234bafbb7d67b7e8f.png"/><Relationship Id="rId24" Type="http://schemas.openxmlformats.org/officeDocument/2006/relationships/image" Target="media/28b549134d74cfa5bf8b91978eb40c037b8b6df7.png"/><Relationship Id="rId25" Type="http://schemas.openxmlformats.org/officeDocument/2006/relationships/image" Target="media/aea97c65c538ed1da4d7f3c816138a09c3e0741f.png"/><Relationship Id="rId26" Type="http://schemas.openxmlformats.org/officeDocument/2006/relationships/image" Target="media/3dcd485d838acb061bb16432a069bac6b9ab397a.png"/><Relationship Id="rId2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Case Study – Complete Session Work Pack</dc:title>
  <dc:creator>Curriculum Pack</dc:creator>
  <cp:lastModifiedBy>Un-named</cp:lastModifiedBy>
  <cp:revision>1</cp:revision>
  <dcterms:created xsi:type="dcterms:W3CDTF">2026-09-28T09:39:01.902Z</dcterms:created>
  <dcterms:modified xsi:type="dcterms:W3CDTF">2026-09-28T09:39:01.902Z</dcterms:modified>
</cp:coreProperties>
</file>

<file path=docProps/custom.xml><?xml version="1.0" encoding="utf-8"?>
<Properties xmlns="http://schemas.openxmlformats.org/officeDocument/2006/custom-properties" xmlns:vt="http://schemas.openxmlformats.org/officeDocument/2006/docPropsVTypes"/>
</file>