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7365D"/>
          <w:sz w:val="44"/>
          <w:szCs w:val="44"/>
        </w:rPr>
        <w:t xml:space="preserve">Capstone Case Study – Complete Session Work Pack</w:t>
      </w:r>
    </w:p>
    <w:p>
      <w:pPr>
        <w:spacing w:after="120"/>
        <w:jc w:val="center"/>
      </w:pPr>
      <w:r>
        <w:rPr>
          <w:rFonts w:ascii="Arial" w:cs="Arial" w:eastAsia="Arial" w:hAnsi="Arial"/>
          <w:i/>
          <w:iCs/>
          <w:color w:val="2F75B5"/>
          <w:sz w:val="22"/>
          <w:szCs w:val="22"/>
        </w:rPr>
        <w:t xml:space="preserve">ChargebackIQ | 18 Days × 4 Hours (72 h) | Every Session Includes Hourly Break-up + Workflow + Steps + Why</w:t>
      </w:r>
    </w:p>
    <w:p>
      <w:pPr>
        <w:spacing w:after="300"/>
        <w:jc w:val="center"/>
      </w:pPr>
      <w:r>
        <w:rPr>
          <w:rFonts w:ascii="Arial" w:cs="Arial" w:eastAsia="Arial" w:hAnsi="Arial"/>
          <w:color w:val="595959"/>
          <w:sz w:val="18"/>
          <w:szCs w:val="18"/>
        </w:rPr>
        <w:t xml:space="preserve">Source-locked to: AI_Banking_SourceLocked_18_Day_72_Hour_TOC_and_Project_Mapping.xlsx</w:t>
      </w:r>
    </w:p>
    <w:p>
      <w:pPr>
        <w:pStyle w:val="Heading1"/>
      </w:pPr>
      <w:r>
        <w:rPr>
          <w:rFonts w:ascii="Arial" w:cs="Arial" w:eastAsia="Arial" w:hAnsi="Arial"/>
        </w:rPr>
        <w:t xml:space="preserve">1. How This Pack Maps to the Source-Locked TOC</w:t>
      </w:r>
    </w:p>
    <w:p>
      <w:pPr>
        <w:spacing w:after="100"/>
        <w:rPr>
          <w:sz w:val="20"/>
          <w:szCs w:val="20"/>
        </w:rPr>
      </w:pPr>
      <w:r>
        <w:rPr>
          <w:rFonts w:ascii="Arial" w:cs="Arial" w:eastAsia="Arial" w:hAnsi="Arial"/>
          <w:sz w:val="20"/>
          <w:szCs w:val="20"/>
        </w:rPr>
        <w:t xml:space="preserve">This work pack follows the Session Work Pack pattern (workflow diagram, steps with reasons, detailed execution, input → work → output, exit criteria and carry-forward for every session) and applies it to the 18-day banking curriculum. The TOC, day structure, hourly blocks, source IDs and topic wording are taken unchanged from the mapping workbook; nothing in the curriculum has been re-sequenced or re-worded.</w:t>
      </w:r>
    </w:p>
    <w:p>
      <w:pPr>
        <w:spacing w:after="100"/>
        <w:rPr>
          <w:sz w:val="20"/>
          <w:szCs w:val="20"/>
        </w:rPr>
      </w:pPr>
      <w:r>
        <w:rPr>
          <w:rFonts w:ascii="Arial" w:cs="Arial" w:eastAsia="Arial" w:hAnsi="Arial"/>
          <w:sz w:val="20"/>
          <w:szCs w:val="20"/>
        </w:rPr>
        <w:t xml:space="preserve">Each day is one session of 4 hours. Inside each session, every step is pinned to the hourly block (and therefore the exact source IDs) in which it is taught, so the workflow diagram, the hourly break-up and the step table all line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Case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ChargebackIQ</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Use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Final Capstone Case Study</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Workbook mapping IDs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CAP-01 … CAP-18</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Delivery mode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Team capstone. Each day produces one milestone artefact that applies that day’s TOC topics to the capstone; Day 18 is the capstone submission gate.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Programme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18 days × 4 hours = 72 hours; 114 source lines (S002 absent in the supplied workbook)</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Companion cases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BankAssist 360 (guided) | ReconAI (assignment) | ChargebackIQ (capstone)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boundary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ChargebackIQ may assemble evidence, track deadlines and draft recommendations. Accept/represent decisions, customer credits and network submissions are made by authorised dispute investigators and approvers; high-value or near-deadline disputes require approver sign-off.</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Access &amp; honesty notes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Gemini Enterprise / ADK steps run only where access is approved; otherwise use mocks and record the design. Code status per day is copied from the workbook ("Reference app codebase + planned day-specific lab (not yet standalone)" for Days 1–15; named daywise demo files for Days 16–18) and is not claimed as a finished implementation.</w:t>
            </w:r>
          </w:p>
        </w:tc>
      </w:tr>
    </w:tbl>
    <w:p>
      <w:pPr>
        <w:pStyle w:val="Heading1"/>
      </w:pPr>
      <w:r>
        <w:rPr>
          <w:rFonts w:ascii="Arial" w:cs="Arial" w:eastAsia="Arial" w:hAnsi="Arial"/>
        </w:rPr>
        <w:t xml:space="preserve">2. Case Background</w:t>
      </w:r>
    </w:p>
    <w:p>
      <w:pPr>
        <w:spacing w:after="100"/>
        <w:rPr>
          <w:sz w:val="20"/>
          <w:szCs w:val="20"/>
        </w:rPr>
      </w:pPr>
      <w:r>
        <w:rPr>
          <w:rFonts w:ascii="Arial" w:cs="Arial" w:eastAsia="Arial" w:hAnsi="Arial"/>
          <w:sz w:val="20"/>
          <w:szCs w:val="20"/>
        </w:rPr>
        <w:t xml:space="preserve">ChargebackIQ supports a card issuer’s dispute (chargeback) operations. It takes in customer disputes, tracks response deadlines, assembles and checks evidence (receipts, merchant letters, delivery proofs), retrieves the applicable card-network and bank policy, and drafts a recommendation (accept, represent or request more information) for a human decision.</w:t>
      </w:r>
    </w:p>
    <w:p>
      <w:pPr>
        <w:spacing w:after="100"/>
        <w:rPr>
          <w:sz w:val="20"/>
          <w:szCs w:val="20"/>
        </w:rPr>
      </w:pPr>
      <w:r>
        <w:rPr>
          <w:rFonts w:ascii="Arial" w:cs="Arial" w:eastAsia="Arial" w:hAnsi="Arial"/>
          <w:sz w:val="20"/>
          <w:szCs w:val="20"/>
        </w:rPr>
        <w:t xml:space="preserve">Because dispute outcomes move money between customers, merchants and the bank, the capstone is judged as much on controls, evidence provenance and human decision rights as on AI capability.</w:t>
      </w:r>
    </w:p>
    <w:p>
      <w:pPr>
        <w:spacing w:after="100"/>
      </w:pPr>
      <w:r>
        <w:rPr>
          <w:rFonts w:ascii="Arial" w:cs="Arial" w:eastAsia="Arial" w:hAnsi="Arial"/>
          <w:b/>
          <w:bCs/>
          <w:sz w:val="20"/>
          <w:szCs w:val="20"/>
        </w:rPr>
        <w:t xml:space="preserve">Training data and templates (names as listed in the workbook File Index; all synthetic):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File</w:t>
            </w:r>
          </w:p>
        </w:tc>
        <w:tc>
          <w:tcPr>
            <w:tcW w:type="dxa" w:w="59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Use in this case</w:t>
            </w:r>
          </w:p>
        </w:tc>
      </w:tr>
      <w:t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8"/>
                <w:szCs w:val="18"/>
              </w:rPr>
              <w:t xml:space="preserve">data/disputes.csv</w:t>
            </w:r>
          </w:p>
        </w:tc>
        <w:tc>
          <w:tcPr>
            <w:tcW w:type="dxa" w:w="5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8"/>
                <w:szCs w:val="18"/>
              </w:rPr>
              <w:t xml:space="preserve">Synthetic dispute records (reason codes, amounts, deadlines)</w:t>
            </w:r>
          </w:p>
        </w:tc>
      </w:tr>
      <w:t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8"/>
                <w:szCs w:val="18"/>
              </w:rPr>
              <w:t xml:space="preserve">data/evidence.csv</w:t>
            </w:r>
          </w:p>
        </w:tc>
        <w:tc>
          <w:tcPr>
            <w:tcW w:type="dxa" w:w="5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8"/>
                <w:szCs w:val="18"/>
              </w:rPr>
              <w:t xml:space="preserve">Synthetic evidence inventory per dispute</w:t>
            </w:r>
          </w:p>
        </w:tc>
      </w:tr>
      <w:t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8"/>
                <w:szCs w:val="18"/>
              </w:rPr>
              <w:t xml:space="preserve">data/policies.json</w:t>
            </w:r>
          </w:p>
        </w:tc>
        <w:tc>
          <w:tcPr>
            <w:tcW w:type="dxa" w:w="5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8"/>
                <w:szCs w:val="18"/>
              </w:rPr>
              <w:t xml:space="preserve">Dispute and chargeback policy snippets</w:t>
            </w:r>
          </w:p>
        </w:tc>
      </w:tr>
      <w:t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8"/>
                <w:szCs w:val="18"/>
              </w:rPr>
              <w:t xml:space="preserve">data/golden.json</w:t>
            </w:r>
          </w:p>
        </w:tc>
        <w:tc>
          <w:tcPr>
            <w:tcW w:type="dxa" w:w="5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8"/>
                <w:szCs w:val="18"/>
              </w:rPr>
              <w:t xml:space="preserve">Golden examples for evaluation and acceptance</w:t>
            </w:r>
          </w:p>
        </w:tc>
      </w:tr>
      <w:t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8"/>
                <w:szCs w:val="18"/>
              </w:rPr>
              <w:t xml:space="preserve">templates/*</w:t>
            </w:r>
          </w:p>
        </w:tc>
        <w:tc>
          <w:tcPr>
            <w:tcW w:type="dxa" w:w="5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8"/>
                <w:szCs w:val="18"/>
              </w:rPr>
              <w:t xml:space="preserve">Handoff, ADR, evaluation, evidence, release, risk and tool-contract templates</w:t>
            </w:r>
          </w:p>
        </w:tc>
      </w:tr>
    </w:tbl>
    <w:p>
      <w:pPr>
        <w:pStyle w:val="Heading1"/>
      </w:pPr>
      <w:r>
        <w:rPr>
          <w:rFonts w:ascii="Arial" w:cs="Arial" w:eastAsia="Arial" w:hAnsi="Arial"/>
        </w:rPr>
        <w:t xml:space="preserve">3. Session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1700"/>
        <w:gridCol w:w="800"/>
        <w:gridCol w:w="700"/>
        <w:gridCol w:w="2660"/>
        <w:gridCol w:w="900"/>
      </w:tblGrid>
      <w:tr>
        <w:trPr>
          <w:tblHeader/>
        </w:trPr>
        <w:tc>
          <w:tcPr>
            <w:tcW w:type="dxa" w:w="5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Day</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Exact modules</w:t>
            </w:r>
          </w:p>
        </w:tc>
        <w:tc>
          <w:tcPr>
            <w:tcW w:type="dxa" w:w="17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Source IDs</w:t>
            </w:r>
          </w:p>
        </w:tc>
        <w:tc>
          <w:tcPr>
            <w:tcW w:type="dxa" w:w="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Concept</w:t>
            </w:r>
          </w:p>
        </w:tc>
        <w:tc>
          <w:tcPr>
            <w:tcW w:type="dxa" w:w="7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Lab</w:t>
            </w:r>
          </w:p>
        </w:tc>
        <w:tc>
          <w:tcPr>
            <w:tcW w:type="dxa" w:w="26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Primary output</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Map ID</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Python for AI</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S001, S003, S004, S005</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Approved scope and initial backlog</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CAP-01</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Gen AI &amp; Challenges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S006, S007, S008, S009, S010</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Human-versus-AI responsibility table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CAP-02</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Gen AI &amp; Challenges | Prompt Engineering</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S011, S012, S013, S014, S015, S016</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Security acceptance checklist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CAP-03</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Prompt Engineering | LLM/LRM/LMM</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S017, S018, S019, S020, S021, S022</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Model decision record</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CAP-04</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LLM/LRM/LMM | Agentic Workflows – LangChain Essentials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S023, S024, S025, S026, S027</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Data-processing design note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CAP-05</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6</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Agentic Workflows – LangChain Essentials | Retrieval-Augmented Generation (RAG)</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S028, S029, S030, S031, S032, S033</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Service responsibility chart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CAP-06</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7</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Retrieval-Augmented Generation (RAG)</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S034, S035, S036, S037, S038, S039</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Policy index specification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CAP-07</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8</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Retrieval-Augmented Generation (RAG)</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S040, S041, S042, S043, S044, S045</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RAG quality-gate specification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CAP-08</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9</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Demystifying Agentic AI</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S046, S047, S048, S049, S050, S051</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Agent governance map</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CAP-09</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10</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Demystifying Agentic AI | Context, Harness &amp; Loop Engineering</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S052, S053, S054, S055, S056, S057, S058</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Escalation policy</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CAP-10</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11</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Context, Harness &amp; Loop Engineering</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S059, S060, S061, S062, S063, S064, S065, S066</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Control matrix</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CAP-11</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LangGraph/CrewAI/AutoGen – Advanced AI Agents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S067, S068, S069, S070, S071</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Agent interaction blueprint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CAP-12</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13</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t>LangGraph/CrewAI/AutoGen – Advanced AI Agents | Architecting Agentic Systems – MCP &amp; A2A Protocols | Applied Data Processing — Batch Fundamentals &amp; Streaming Fundamentals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S072, S073, S074, S075, S076, S077, S078</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A2A message contract draft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CAP-13</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14</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t>Architecting Agentic Systems – MCP &amp; A2A Protocols | Gemini Enterprise Agent Development | Cloud Batch &amp; Event-Streaming Architecture — Pub/Sub, Dataflow/Apache Beam &amp; BigQuery</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S079, S080, S081, S082, S083, S084, S085, S086</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Review-ready architecture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CAP-14</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15</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t>Gemini Enterprise Agent Development | LLM Fine-Tuning &amp; Evaluation | Batch Validation &amp; Publisher Batching — Event Time, Windows, Watermarks &amp; Late Data</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S087, S088, S089, S090, S091, S092, S093</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Capstone evaluation plan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CAP-15</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16</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t>Deployment, Evaluation &amp; Observability | Streaming Observability &amp; Delivery Semantics — Correlation, Acknowledgement &amp; Durable Processing</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S094, S095, S096, S097, S098, S099, S100</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0.75h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3.25h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Protocol governance checklist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CAP-16</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17</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t>Deployment, Evaluation &amp; Observability | AI Validation/ Testing | Batch Backfill/Replay &amp; Stream Recovery — Idempotency, Duplicate Handling &amp; Failure Recovery</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S101, S102, S103, S104, S105, S106, S107, S108, S109</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0.75h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3.25h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Readiness gap register</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CAP-17</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18</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t>AI Validation/ Testing | Gemini Enterprise Deployment | Batch/Stream Production Readiness — Cutover, Rollback, Governance &amp; Release Validation</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S110, S111, S112, S113, S114, S115</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0.75h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3.25h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Capstone acceptance matrix</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CAP-18</w:t>
            </w:r>
          </w:p>
        </w:tc>
      </w:tr>
    </w:tbl>
    <w:p>
      <w:pPr>
        <w:pStyle w:val="Heading1"/>
        <w:pageBreakBefore/>
      </w:pPr>
      <w:r>
        <w:rPr>
          <w:rFonts w:ascii="Arial" w:cs="Arial" w:eastAsia="Arial" w:hAnsi="Arial"/>
        </w:rPr>
        <w:t xml:space="preserve">4. Session-by-Session Detailed Work</w:t>
      </w:r>
    </w:p>
    <w:p>
      <w:pPr>
        <w:pStyle w:val="Heading2"/>
      </w:pPr>
      <w:r>
        <w:rPr>
          <w:rFonts w:ascii="Arial" w:cs="Arial" w:eastAsia="Arial" w:hAnsi="Arial"/>
        </w:rPr>
        <w:t xml:space="preserve">Day 1: Python/Data – define dispute intake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Python for AI</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S001, S003, S004, S005</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Synthetic disputes and business-process brief</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Create problem statement, roles, security assumptions.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Approved scope and initial backlog</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ChargebackIQ may assemble evidence, track deadlines and draft recommendations. Accept/represent decisions, customer credits and network submissions are made by authorised dispute investigators and approvers; high-value or near-deadline disputes require approver sign-off.</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CAP-01 | Day 01 / CAP-01</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Day01_SourceLocked_5W1H_Architecture.pptx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Reference app codebase + planned day-specific lab (not yet standalone)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Data → Python validation → Banking API → Audit log</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S001</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Python for AI  | Python Basics &amp; Syntax</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S003</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Variables, Operators, Conditional Statements, Loops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S004</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Data Structures: Lists, Tuples, Sets, Dictionaries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S005</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*Functions, FAST API, File Handling &amp; Error Handling*</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Capstone work in this hour</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S001</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Python for AI | Python Basics &amp; Syntax</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Problem statement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S003</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Variables, Operators, Conditional Statements, Loops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Roles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S004</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Data Structures: Lists, Tuples, Sets, Dictionaries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Intake data profile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S005</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*Functions, FAST API, File Handling &amp; Error Handling*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Security assumptions; Scope + backlog</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4, 5</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1" descr="Day 1 workflow for ChargebackIQ" title="Day 1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S001</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Write the ChargebackIQ problem statement using 5W1H from the business-process brief.</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 capstone without a measurable problem cannot be accepted.</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Problem statement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S003</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Identify roles: dispute investigator, reviewer, approver, customer-service agent, risk/compliance.</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Decision rights shape every later control, permission and escalation rule.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Role list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S004</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Profile synthetic disputes.csv with Python data structures: counts by reason code, amount bands, deadline distribution.</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Scope must be grounded in the data actually available.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Dispute data profile</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S005</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Record security and privacy assumptions (masked PAN, no live card data, synthetic only).</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Stating assumptions up front prevents unsafe use of card or customer data.</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Security assumptions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S005</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Obtain scope approval and create the initial backlog.</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 backlog turns scope into deliverable milestones.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Approved scope + initial backlog</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Write the ChargebackIQ problem statement using 5W1H from the business-process brief.</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S001</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State the dispute lifecycle pain (time to respond, missed deadlines, evidence gaps) and the measurable target.</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A capstone without a measurable problem cannot be accepted.</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Problem statement</w:t>
      </w:r>
    </w:p>
    <w:p>
      <w:pPr>
        <w:spacing w:after="60" w:before="120"/>
      </w:pPr>
      <w:r>
        <w:rPr>
          <w:rFonts w:ascii="Arial" w:cs="Arial" w:eastAsia="Arial" w:hAnsi="Arial"/>
          <w:b/>
          <w:bCs/>
          <w:color w:val="17365D"/>
          <w:sz w:val="20"/>
          <w:szCs w:val="20"/>
        </w:rPr>
        <w:t xml:space="preserve">Step 2 – Identify roles: dispute investigator, reviewer, approver, customer-service agent, risk/compliance.</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S003</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One line per role: responsibility and decision authority.</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Decision rights shape every later control, permission and escalation rule.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Role list</w:t>
      </w:r>
    </w:p>
    <w:p>
      <w:pPr>
        <w:spacing w:after="60" w:before="120"/>
      </w:pPr>
      <w:r>
        <w:rPr>
          <w:rFonts w:ascii="Arial" w:cs="Arial" w:eastAsia="Arial" w:hAnsi="Arial"/>
          <w:b/>
          <w:bCs/>
          <w:color w:val="17365D"/>
          <w:sz w:val="20"/>
          <w:szCs w:val="20"/>
        </w:rPr>
        <w:t xml:space="preserve">Step 3 – Profile synthetic disputes.csv with Python data structures: counts by reason code, amount bands, deadline distribution.</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S004</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Use dicts/Counters by reason code; flag missing fields; note sensitive fields to mask.</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Scope must be grounded in the data actually available.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Dispute data profile</w:t>
      </w:r>
    </w:p>
    <w:p>
      <w:pPr>
        <w:spacing w:after="60" w:before="120"/>
      </w:pPr>
      <w:r>
        <w:rPr>
          <w:rFonts w:ascii="Arial" w:cs="Arial" w:eastAsia="Arial" w:hAnsi="Arial"/>
          <w:b/>
          <w:bCs/>
          <w:color w:val="17365D"/>
          <w:sz w:val="20"/>
          <w:szCs w:val="20"/>
        </w:rPr>
        <w:t xml:space="preserve">Step 4 – Record security and privacy assumptions (masked PAN, no live card data, synthetic only).</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S005</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List assumptions with owner and verification method.</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Stating assumptions up front prevents unsafe use of card or customer data.</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Security assumptions</w:t>
      </w:r>
    </w:p>
    <w:p>
      <w:pPr>
        <w:spacing w:after="60" w:before="120"/>
      </w:pPr>
      <w:r>
        <w:rPr>
          <w:rFonts w:ascii="Arial" w:cs="Arial" w:eastAsia="Arial" w:hAnsi="Arial"/>
          <w:b/>
          <w:bCs/>
          <w:color w:val="17365D"/>
          <w:sz w:val="20"/>
          <w:szCs w:val="20"/>
        </w:rPr>
        <w:t xml:space="preserve">Step 5 – Obtain scope approval and create the initial backlog.</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S005</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Backlog items mapped to Days 2–18 milestones; record approver.</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A backlog turns scope into deliverable milestones.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Approved scope + initial backlog</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Synthetic disputes and business-process brief</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Problem statement → Roles → Intake data profile → Security assumptions → Scope + backlog</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Approved scope and initial backlog</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Approved scope and initial backlog.</w:t>
      </w:r>
    </w:p>
    <w:p>
      <w:pPr>
        <w:pStyle w:val="ListParagraph"/>
        <w:numPr>
          <w:ilvl w:val="0"/>
          <w:numId w:val="2"/>
        </w:numPr>
        <w:spacing w:after="60"/>
      </w:pPr>
      <w:r>
        <w:rPr>
          <w:rFonts w:ascii="Arial" w:cs="Arial" w:eastAsia="Arial" w:hAnsi="Arial"/>
          <w:sz w:val="20"/>
          <w:szCs w:val="20"/>
        </w:rPr>
        <w:t xml:space="preserve">The problem statement contains a measurable target.</w:t>
      </w:r>
    </w:p>
    <w:p>
      <w:pPr>
        <w:pStyle w:val="ListParagraph"/>
        <w:numPr>
          <w:ilvl w:val="0"/>
          <w:numId w:val="2"/>
        </w:numPr>
        <w:spacing w:after="60"/>
      </w:pPr>
      <w:r>
        <w:rPr>
          <w:rFonts w:ascii="Arial" w:cs="Arial" w:eastAsia="Arial" w:hAnsi="Arial"/>
          <w:sz w:val="20"/>
          <w:szCs w:val="20"/>
        </w:rPr>
        <w:t xml:space="preserve">Every backlog item traces to the approved scope.</w:t>
      </w:r>
    </w:p>
    <w:p>
      <w:pPr>
        <w:pStyle w:val="ListParagraph"/>
        <w:numPr>
          <w:ilvl w:val="0"/>
          <w:numId w:val="2"/>
        </w:numPr>
        <w:spacing w:after="60"/>
      </w:pPr>
      <w:r>
        <w:rPr>
          <w:rFonts w:ascii="Arial" w:cs="Arial" w:eastAsia="Arial" w:hAnsi="Arial"/>
          <w:sz w:val="20"/>
          <w:szCs w:val="20"/>
        </w:rPr>
        <w:t xml:space="preserve">Every step traces to its hourly block and source IDs (S001, S003, S004, S005);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Approved scope and initial backlog becomes an explicit input for Day 2 — ChargebackIQ: establish AI suitability (Day 2 input: Sample dispute records and roles).</w:t>
      </w:r>
    </w:p>
    <w:p>
      <w:pPr>
        <w:pStyle w:val="Heading2"/>
        <w:pageBreakBefore/>
      </w:pPr>
      <w:r>
        <w:rPr>
          <w:rFonts w:ascii="Arial" w:cs="Arial" w:eastAsia="Arial" w:hAnsi="Arial"/>
        </w:rPr>
        <w:t xml:space="preserve">Day 2: GenAI – establish AI suitability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Gen AI &amp; Challenges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S006, S007, S008, S009, S010</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S001, S003, S004, S005</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Sample dispute records and roles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Decide which tasks need deterministic code versus GenAI.</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Human-versus-AI responsibility table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ChargebackIQ may assemble evidence, track deadlines and draft recommendations. Accept/represent decisions, customer credits and network submissions are made by authorised dispute investigators and approvers; high-value or near-deadline disputes require approver sign-off.</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CAP-02 | Day 02 / CAP-02</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Day02_SourceLocked_5W1H_Architecture.pptx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Reference app codebase + planned day-specific lab (not yet standalone)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Banking record → AI task boundary → Draft explanation → Reviewer</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S006</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Gen AI &amp; Challenges  | AI vs ML vs GenAI</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S007</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Core Principles of GenAI</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S008</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Types of GenAI Models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S009</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How Generative Models Create Data; Key Challenges: Bias, Hallucination, Stochasticity</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S010</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Business and Technical Challenges in Deployment</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Capstone work in this hour</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Gen AI &amp; Challenges | AI vs ML vs GenAI</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Task inventory</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S007</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Core Principles of GenAI</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GenAI principles fit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S008</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Types of GenAI Models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Model types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S009, S010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How Generative Models Create Data; Key Challenges: Bias, Hallucination, Stochasticity</w:t>
            </w:r>
          </w:p>
          <w:p>
            <w:pPr>
              <w:spacing w:after="20"/>
            </w:pPr>
            <w:r>
              <w:rPr>
                <w:rFonts w:ascii="Arial" w:cs="Arial" w:eastAsia="Arial" w:hAnsi="Arial"/>
                <w:sz w:val="15"/>
                <w:szCs w:val="15"/>
              </w:rPr>
              <w:t xml:space="preserve">Business and Technical Challenges in Deployment</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Risk + deployment challenges; Responsibility table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4, 5</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2" descr="Day 2 workflow for ChargebackIQ" title="Day 2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S006</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List every dispute-handling task from intake to closure.</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AI suitability can only be judged task by task, not for the whole process.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Task inventory</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S007</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Apply core GenAI principles to decide where generation helps (drafting, summarising evidence).</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GenAI should be used for drafting and summarising, not for rule-based steps.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GenAI fit notes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S008</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Identify GenAI model types relevant to text and document evidence.</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Receipts, letters and images may need different model capabilities.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Model type shortlist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S009, S010</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Record bias, hallucination, stochasticity and deployment challenges for dispute decisions.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Dispute outcomes affect customers and merchants financially.</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Risk notes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S009, S010</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Decide deterministic code vs GenAI vs human per task.</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Establishes the human decision boundary that the capstone is assessed against.</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Human-versus-AI responsibility table</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List every dispute-handling task from intake to closure.</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S006</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Intake, eligibility, deadline tracking, evidence gathering, narrative drafting, decision, submission.</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AI suitability can only be judged task by task, not for the whole process.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Task inventory</w:t>
      </w:r>
    </w:p>
    <w:p>
      <w:pPr>
        <w:spacing w:after="60" w:before="120"/>
      </w:pPr>
      <w:r>
        <w:rPr>
          <w:rFonts w:ascii="Arial" w:cs="Arial" w:eastAsia="Arial" w:hAnsi="Arial"/>
          <w:b/>
          <w:bCs/>
          <w:color w:val="17365D"/>
          <w:sz w:val="20"/>
          <w:szCs w:val="20"/>
        </w:rPr>
        <w:t xml:space="preserve">Step 2 – Apply core GenAI principles to decide where generation helps (drafting, summarising evidence).</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S007</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Mark each task generative/non-generative with a reason.</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GenAI should be used for drafting and summarising, not for rule-based steps.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GenAI fit notes</w:t>
      </w:r>
    </w:p>
    <w:p>
      <w:pPr>
        <w:spacing w:after="60" w:before="120"/>
      </w:pPr>
      <w:r>
        <w:rPr>
          <w:rFonts w:ascii="Arial" w:cs="Arial" w:eastAsia="Arial" w:hAnsi="Arial"/>
          <w:b/>
          <w:bCs/>
          <w:color w:val="17365D"/>
          <w:sz w:val="20"/>
          <w:szCs w:val="20"/>
        </w:rPr>
        <w:t xml:space="preserve">Step 3 – Identify GenAI model types relevant to text and document evidence.</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S008</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Text LLM, document/vision-capable model; note constraints.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Receipts, letters and images may need different model capabilities.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Model type shortlist</w:t>
      </w:r>
    </w:p>
    <w:p>
      <w:pPr>
        <w:spacing w:after="60" w:before="120"/>
      </w:pPr>
      <w:r>
        <w:rPr>
          <w:rFonts w:ascii="Arial" w:cs="Arial" w:eastAsia="Arial" w:hAnsi="Arial"/>
          <w:b/>
          <w:bCs/>
          <w:color w:val="17365D"/>
          <w:sz w:val="20"/>
          <w:szCs w:val="20"/>
        </w:rPr>
        <w:t xml:space="preserve">Step 4 – Record bias, hallucination, stochasticity and deployment challenges for dispute decisions.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S009, S010</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One risk per task with mitigation.</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Dispute outcomes affect customers and merchants financially.</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Risk notes</w:t>
      </w:r>
    </w:p>
    <w:p>
      <w:pPr>
        <w:spacing w:after="60" w:before="120"/>
      </w:pPr>
      <w:r>
        <w:rPr>
          <w:rFonts w:ascii="Arial" w:cs="Arial" w:eastAsia="Arial" w:hAnsi="Arial"/>
          <w:b/>
          <w:bCs/>
          <w:color w:val="17365D"/>
          <w:sz w:val="20"/>
          <w:szCs w:val="20"/>
        </w:rPr>
        <w:t xml:space="preserve">Step 5 – Decide deterministic code vs GenAI vs human per task.</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S009, S010</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Columns: task, code, AI draft, human decision; approver named.</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Establishes the human decision boundary that the capstone is assessed against.</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Human-versus-AI responsibility table</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Sample dispute records and roles</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Task inventory → GenAI principles fit → Model types → Risk + deployment challenges → Responsibility table</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Human-versus-AI responsibility table</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Human-versus-AI responsibility table.</w:t>
      </w:r>
    </w:p>
    <w:p>
      <w:pPr>
        <w:pStyle w:val="ListParagraph"/>
        <w:numPr>
          <w:ilvl w:val="0"/>
          <w:numId w:val="2"/>
        </w:numPr>
        <w:spacing w:after="60"/>
      </w:pPr>
      <w:r>
        <w:rPr>
          <w:rFonts w:ascii="Arial" w:cs="Arial" w:eastAsia="Arial" w:hAnsi="Arial"/>
          <w:sz w:val="20"/>
          <w:szCs w:val="20"/>
        </w:rPr>
        <w:t xml:space="preserve">Every dispute decision is assigned to a human role.</w:t>
      </w:r>
    </w:p>
    <w:p>
      <w:pPr>
        <w:pStyle w:val="ListParagraph"/>
        <w:numPr>
          <w:ilvl w:val="0"/>
          <w:numId w:val="2"/>
        </w:numPr>
        <w:spacing w:after="60"/>
      </w:pPr>
      <w:r>
        <w:rPr>
          <w:rFonts w:ascii="Arial" w:cs="Arial" w:eastAsia="Arial" w:hAnsi="Arial"/>
          <w:sz w:val="20"/>
          <w:szCs w:val="20"/>
        </w:rPr>
        <w:t xml:space="preserve">Deadline calculation is deterministic code.</w:t>
      </w:r>
    </w:p>
    <w:p>
      <w:pPr>
        <w:pStyle w:val="ListParagraph"/>
        <w:numPr>
          <w:ilvl w:val="0"/>
          <w:numId w:val="2"/>
        </w:numPr>
        <w:spacing w:after="60"/>
      </w:pPr>
      <w:r>
        <w:rPr>
          <w:rFonts w:ascii="Arial" w:cs="Arial" w:eastAsia="Arial" w:hAnsi="Arial"/>
          <w:sz w:val="20"/>
          <w:szCs w:val="20"/>
        </w:rPr>
        <w:t xml:space="preserve">Every step traces to its hourly block and source IDs (S006, S007, S008, S009, S010);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Human-versus-AI responsibility table becomes an explicit input for Day 3 — ChargebackIQ: policy and privacy requirements (Day 3 input: Dispute sample plus masked identities).</w:t>
      </w:r>
    </w:p>
    <w:p>
      <w:pPr>
        <w:pStyle w:val="Heading2"/>
        <w:pageBreakBefore/>
      </w:pPr>
      <w:r>
        <w:rPr>
          <w:rFonts w:ascii="Arial" w:cs="Arial" w:eastAsia="Arial" w:hAnsi="Arial"/>
        </w:rPr>
        <w:t xml:space="preserve">Day 3: GenAI + Prompts – policy and privacy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Gen AI &amp; Challenges | Prompt Engineering</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S011, S012, S013, S014, S015, S016</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S006, S007, S008, S009, S010</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Dispute sample plus masked identities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Create safe prompt/data-handling acceptance criteria.</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Security acceptance checklist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ChargebackIQ may assemble evidence, track deadlines and draft recommendations. Accept/represent decisions, customer credits and network submissions are made by authorised dispute investigators and approvers; high-value or near-deadline disputes require approver sign-off.</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CAP-03 | Day 03 / CAP-03</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Day03_SourceLocked_5W1H_Architecture.pptx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Reference app codebase + planned day-specific lab (not yet standalone)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Masked records → Prompt contract → Model → Rule validation</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S011</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Guardrail Solutions: Bias Mitigation (balanced datasets, fairness metrics, post-processing)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S012</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Security Approaches (prompt injection defense, data anonymization, differential privacy)</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S013</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Guardrail Techniques (RLHF, Constitutional AI, red-teaming, moderation APIs)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S014</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Prompt Engineering  | Prompt Anatomy &amp; Context Types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S015</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Zero-shot, One-shot, Few-shot Prompting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S016</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Chain-of-Thought Prompting</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Capstone work in this hour</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S011</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Guardrail Solutions: Bias Mitigation (balanced datasets, fairness metrics, post-processing)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Fairness criteria</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S012, S013</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Security Approaches (prompt injection defense, data anonymization, differential privacy)</w:t>
            </w:r>
          </w:p>
          <w:p>
            <w:pPr>
              <w:spacing w:after="20"/>
            </w:pPr>
            <w:r>
              <w:rPr>
                <w:rFonts w:ascii="Arial" w:cs="Arial" w:eastAsia="Arial" w:hAnsi="Arial"/>
                <w:sz w:val="15"/>
                <w:szCs w:val="15"/>
              </w:rPr>
              <w:t xml:space="preserve">Guardrail Techniques (RLHF, Constitutional AI, red-teaming, moderation APIs)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Data-handling criteria</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S014</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Prompt Engineering | Prompt Anatomy &amp; Context Types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Prompt contract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S015, S016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Zero-shot, One-shot, Few-shot Prompting</w:t>
            </w:r>
          </w:p>
          <w:p>
            <w:pPr>
              <w:spacing w:after="20"/>
            </w:pPr>
            <w:r>
              <w:rPr>
                <w:rFonts w:ascii="Arial" w:cs="Arial" w:eastAsia="Arial" w:hAnsi="Arial"/>
                <w:sz w:val="15"/>
                <w:szCs w:val="15"/>
              </w:rPr>
              <w:t xml:space="preserve">Chain-of-Thought Prompting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Prompt tests; Checklist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4, 5</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3" descr="Day 3 workflow for ChargebackIQ" title="Day 3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S011</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fairness acceptance criteria for dispute narratives across customer and merchant types.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Consistent treatment is a regulatory expectation.</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Fairness criteria</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S012, S013</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masking, injection defence and guardrail acceptance criteria.</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Dispute text and merchant evidence are untrusted.</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Data-handling criteria</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S014</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Specify required prompt anatomy for the capstone.</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 prompt contract makes prompts reviewable at acceptance.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Prompt contract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S015, S016</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zero/one/few-shot and CoT tests that must pass.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Acceptance requires test evidence, not claims of prompt quality.</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Prompt test criteria</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S015, S016</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Assemble the security acceptance checklist.</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 single checklist gives reviewers one artefact for security sign-off.</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Security acceptance checklist</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Define fairness acceptance criteria for dispute narratives across customer and merchant types.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S011</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Balanced test set; tone and outcome-language checks.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Consistent treatment is a regulatory expectation.</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Fairness criteria</w:t>
      </w:r>
    </w:p>
    <w:p>
      <w:pPr>
        <w:spacing w:after="60" w:before="120"/>
      </w:pPr>
      <w:r>
        <w:rPr>
          <w:rFonts w:ascii="Arial" w:cs="Arial" w:eastAsia="Arial" w:hAnsi="Arial"/>
          <w:b/>
          <w:bCs/>
          <w:color w:val="17365D"/>
          <w:sz w:val="20"/>
          <w:szCs w:val="20"/>
        </w:rPr>
        <w:t xml:space="preserve">Step 2 – Define masking, injection defence and guardrail acceptance criteria.</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S012, S013</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Mask PAN/names; delimit evidence text; injection tests must pass.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Dispute text and merchant evidence are untrusted.</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Data-handling criteria</w:t>
      </w:r>
    </w:p>
    <w:p>
      <w:pPr>
        <w:spacing w:after="60" w:before="120"/>
      </w:pPr>
      <w:r>
        <w:rPr>
          <w:rFonts w:ascii="Arial" w:cs="Arial" w:eastAsia="Arial" w:hAnsi="Arial"/>
          <w:b/>
          <w:bCs/>
          <w:color w:val="17365D"/>
          <w:sz w:val="20"/>
          <w:szCs w:val="20"/>
        </w:rPr>
        <w:t xml:space="preserve">Step 3 – Specify required prompt anatomy for the capstone.</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S014</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Role, task, context, constraints, output format, escalation.</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A prompt contract makes prompts reviewable at acceptance.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Prompt contract</w:t>
      </w:r>
    </w:p>
    <w:p>
      <w:pPr>
        <w:spacing w:after="60" w:before="120"/>
      </w:pPr>
      <w:r>
        <w:rPr>
          <w:rFonts w:ascii="Arial" w:cs="Arial" w:eastAsia="Arial" w:hAnsi="Arial"/>
          <w:b/>
          <w:bCs/>
          <w:color w:val="17365D"/>
          <w:sz w:val="20"/>
          <w:szCs w:val="20"/>
        </w:rPr>
        <w:t xml:space="preserve">Step 4 – Define zero/one/few-shot and CoT tests that must pass.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S015, S016</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Define zero-, one-, few-shot and CoT test sets from masked disputes; set a pass threshold per test type (e.g., ≥ 90% correct reason-code handling, 100% escalation on trigger cases).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Acceptance requires test evidence, not claims of prompt quality.</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Prompt test criteria</w:t>
      </w:r>
    </w:p>
    <w:p>
      <w:pPr>
        <w:spacing w:after="60" w:before="120"/>
      </w:pPr>
      <w:r>
        <w:rPr>
          <w:rFonts w:ascii="Arial" w:cs="Arial" w:eastAsia="Arial" w:hAnsi="Arial"/>
          <w:b/>
          <w:bCs/>
          <w:color w:val="17365D"/>
          <w:sz w:val="20"/>
          <w:szCs w:val="20"/>
        </w:rPr>
        <w:t xml:space="preserve">Step 5 – Assemble the security acceptance checklist.</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S015, S016</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Combine fairness, data-handling, prompt and test criteria into one checklist with columns: item, test, pass threshold, evidence location, owner.</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A single checklist gives reviewers one artefact for security sign-off.</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Security acceptance checklist</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Dispute sample plus masked identities</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Fairness criteria → Data-handling criteria → Prompt contract → Prompt tests → Checklist</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Security acceptance checklist</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Security acceptance checklist.</w:t>
      </w:r>
    </w:p>
    <w:p>
      <w:pPr>
        <w:pStyle w:val="ListParagraph"/>
        <w:numPr>
          <w:ilvl w:val="0"/>
          <w:numId w:val="2"/>
        </w:numPr>
        <w:spacing w:after="60"/>
      </w:pPr>
      <w:r>
        <w:rPr>
          <w:rFonts w:ascii="Arial" w:cs="Arial" w:eastAsia="Arial" w:hAnsi="Arial"/>
          <w:sz w:val="20"/>
          <w:szCs w:val="20"/>
        </w:rPr>
        <w:t xml:space="preserve">Each checklist item has a test and pass threshold.</w:t>
      </w:r>
    </w:p>
    <w:p>
      <w:pPr>
        <w:pStyle w:val="ListParagraph"/>
        <w:numPr>
          <w:ilvl w:val="0"/>
          <w:numId w:val="2"/>
        </w:numPr>
        <w:spacing w:after="60"/>
      </w:pPr>
      <w:r>
        <w:rPr>
          <w:rFonts w:ascii="Arial" w:cs="Arial" w:eastAsia="Arial" w:hAnsi="Arial"/>
          <w:sz w:val="20"/>
          <w:szCs w:val="20"/>
        </w:rPr>
        <w:t xml:space="preserve">Masking is verified on the sample.</w:t>
      </w:r>
    </w:p>
    <w:p>
      <w:pPr>
        <w:pStyle w:val="ListParagraph"/>
        <w:numPr>
          <w:ilvl w:val="0"/>
          <w:numId w:val="2"/>
        </w:numPr>
        <w:spacing w:after="60"/>
      </w:pPr>
      <w:r>
        <w:rPr>
          <w:rFonts w:ascii="Arial" w:cs="Arial" w:eastAsia="Arial" w:hAnsi="Arial"/>
          <w:sz w:val="20"/>
          <w:szCs w:val="20"/>
        </w:rPr>
        <w:t xml:space="preserve">Every step traces to its hourly block and source IDs (S011, S012, S013, S014, S015, S016);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Security acceptance checklist becomes an explicit input for Day 4 — ChargebackIQ: model choice decision record (Day 4 input: Document and image evidence mock examples).</w:t>
      </w:r>
    </w:p>
    <w:p>
      <w:pPr>
        <w:pStyle w:val="Heading2"/>
        <w:pageBreakBefore/>
      </w:pPr>
      <w:r>
        <w:rPr>
          <w:rFonts w:ascii="Arial" w:cs="Arial" w:eastAsia="Arial" w:hAnsi="Arial"/>
        </w:rPr>
        <w:t xml:space="preserve">Day 4: Prompts + Models – model choice decision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Prompt Engineering | LLM/LRM/LMM</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S017, S018, S019, S020, S021, S022</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S014, S015, S016</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Document and image evidence mock examples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Choose suitable model interfaces and identify unsupported evidence types.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Model decision record</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ChargebackIQ may assemble evidence, track deadlines and draft recommendations. Accept/represent decisions, customer credits and network submissions are made by authorised dispute investigators and approvers; high-value or near-deadline disputes require approver sign-off.</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CAP-04 | Day 04 / CAP-04</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Day04_SourceLocked_5W1H_Architecture.pptx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Reference app codebase + planned day-specific lab (not yet standalone)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Prompt → Structured model I/O → JSON schema → Escalation</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S017</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Prompt Interventions &amp; Prompt Tuning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S018</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Adversarial Prompting &amp; Prompt Security</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S019</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Prompts for Agents &amp; ReAct-style Prompting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S020</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*Structured Output Prompting (JSON mode, schemas, function-call prompts)*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S021</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LLM/LRM/LMM  | LLMs vs LRMs vs LMMs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S022</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Transformers Architecture, Scaling Laws</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Capstone work in this hour</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S017</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Prompt Interventions &amp; Prompt Tuning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Prompt change control</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S018, S019</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Adversarial Prompting &amp; Prompt Security</w:t>
            </w:r>
          </w:p>
          <w:p>
            <w:pPr>
              <w:spacing w:after="20"/>
            </w:pPr>
            <w:r>
              <w:rPr>
                <w:rFonts w:ascii="Arial" w:cs="Arial" w:eastAsia="Arial" w:hAnsi="Arial"/>
                <w:sz w:val="15"/>
                <w:szCs w:val="15"/>
              </w:rPr>
              <w:t xml:space="preserve">Prompts for Agents &amp; ReAct-style Prompting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Adversarial + agent prompts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*Structured Output Prompting (JSON mode, schemas, function-call prompts)*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Structured output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S021, S022</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LLM/LRM/LMM | LLMs vs LRMs vs LMMs</w:t>
            </w:r>
          </w:p>
          <w:p>
            <w:pPr>
              <w:spacing w:after="20"/>
            </w:pPr>
            <w:r>
              <w:rPr>
                <w:rFonts w:ascii="Arial" w:cs="Arial" w:eastAsia="Arial" w:hAnsi="Arial"/>
                <w:sz w:val="15"/>
                <w:szCs w:val="15"/>
              </w:rPr>
              <w:t xml:space="preserve">Transformers Architecture, Scaling Laws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Model decision record</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4" descr="Day 4 workflow for ChargebackIQ" title="Day 4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S017</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prompt versioning and change control for the capstone.</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Prompt changes must be traceable when the capstone is accepted.</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Change-control rule</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S018, S019</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Specify adversarial tests and agent-style prompt requirements for evidence gathering.</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Merchant documents may contain manipulative text.</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Adversarial test list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S020</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structured output for dispute recommendations.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Reviewers and downstream systems need validated, predictable fields.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Recommendation schema</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S021, S022</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Choose model interfaces (LLM/LRM/LMM) and identify unsupported evidence types.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Some evidence cannot be processed reliably and must go to humans.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Model decision record</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Define prompt versioning and change control for the capstone.</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S017</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Assign version IDs to prompts; require a change-log entry and re-run of tests for every change.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Prompt changes must be traceable when the capstone is accepted.</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Change-control rule</w:t>
      </w:r>
    </w:p>
    <w:p>
      <w:pPr>
        <w:spacing w:after="60" w:before="120"/>
      </w:pPr>
      <w:r>
        <w:rPr>
          <w:rFonts w:ascii="Arial" w:cs="Arial" w:eastAsia="Arial" w:hAnsi="Arial"/>
          <w:b/>
          <w:bCs/>
          <w:color w:val="17365D"/>
          <w:sz w:val="20"/>
          <w:szCs w:val="20"/>
        </w:rPr>
        <w:t xml:space="preserve">Step 2 – Specify adversarial tests and agent-style prompt requirements for evidence gathering.</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S018, S019</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List attack cases hidden in merchant documents (instructions to accept, fake approvals); specify read-only agent actions for evidence gathering.</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Merchant documents may contain manipulative text.</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Adversarial test list</w:t>
      </w:r>
    </w:p>
    <w:p>
      <w:pPr>
        <w:spacing w:after="60" w:before="120"/>
      </w:pPr>
      <w:r>
        <w:rPr>
          <w:rFonts w:ascii="Arial" w:cs="Arial" w:eastAsia="Arial" w:hAnsi="Arial"/>
          <w:b/>
          <w:bCs/>
          <w:color w:val="17365D"/>
          <w:sz w:val="20"/>
          <w:szCs w:val="20"/>
        </w:rPr>
        <w:t xml:space="preserve">Step 3 – Define structured output for dispute recommendations.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S020</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Fields: dispute_id, reason_code, evidence_refs, recommendation (accept/represent/need-info), deadline, requires_approval=true.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Reviewers and downstream systems need validated, predictable fields.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Recommendation schema</w:t>
      </w:r>
    </w:p>
    <w:p>
      <w:pPr>
        <w:spacing w:after="60" w:before="120"/>
      </w:pPr>
      <w:r>
        <w:rPr>
          <w:rFonts w:ascii="Arial" w:cs="Arial" w:eastAsia="Arial" w:hAnsi="Arial"/>
          <w:b/>
          <w:bCs/>
          <w:color w:val="17365D"/>
          <w:sz w:val="20"/>
          <w:szCs w:val="20"/>
        </w:rPr>
        <w:t xml:space="preserve">Step 4 – Choose model interfaces (LLM/LRM/LMM) and identify unsupported evidence types.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S021, S022</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Options, choice, unsupported types (e.g., handwritten receipts) routed to humans.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Some evidence cannot be processed reliably and must go to humans.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Model decision record</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Document and image evidence mock examples</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Prompt change control → Adversarial + agent prompts → Structured output → Model decision record</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Model decision record</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Model decision record.</w:t>
      </w:r>
    </w:p>
    <w:p>
      <w:pPr>
        <w:pStyle w:val="ListParagraph"/>
        <w:numPr>
          <w:ilvl w:val="0"/>
          <w:numId w:val="2"/>
        </w:numPr>
        <w:spacing w:after="60"/>
      </w:pPr>
      <w:r>
        <w:rPr>
          <w:rFonts w:ascii="Arial" w:cs="Arial" w:eastAsia="Arial" w:hAnsi="Arial"/>
          <w:sz w:val="20"/>
          <w:szCs w:val="20"/>
        </w:rPr>
        <w:t xml:space="preserve">requires_approval is always true in the schema.</w:t>
      </w:r>
    </w:p>
    <w:p>
      <w:pPr>
        <w:pStyle w:val="ListParagraph"/>
        <w:numPr>
          <w:ilvl w:val="0"/>
          <w:numId w:val="2"/>
        </w:numPr>
        <w:spacing w:after="60"/>
      </w:pPr>
      <w:r>
        <w:rPr>
          <w:rFonts w:ascii="Arial" w:cs="Arial" w:eastAsia="Arial" w:hAnsi="Arial"/>
          <w:sz w:val="20"/>
          <w:szCs w:val="20"/>
        </w:rPr>
        <w:t xml:space="preserve">Unsupported evidence types are routed to humans.</w:t>
      </w:r>
    </w:p>
    <w:p>
      <w:pPr>
        <w:pStyle w:val="ListParagraph"/>
        <w:numPr>
          <w:ilvl w:val="0"/>
          <w:numId w:val="2"/>
        </w:numPr>
        <w:spacing w:after="60"/>
      </w:pPr>
      <w:r>
        <w:rPr>
          <w:rFonts w:ascii="Arial" w:cs="Arial" w:eastAsia="Arial" w:hAnsi="Arial"/>
          <w:sz w:val="20"/>
          <w:szCs w:val="20"/>
        </w:rPr>
        <w:t xml:space="preserve">Every step traces to its hourly block and source IDs (S017, S018, S019, S020, S021, S022);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Model decision record becomes an explicit input for Day 5 — ChargebackIQ: document input planning (Day 5 input: Receipt/merchant evidence examples).</w:t>
      </w:r>
    </w:p>
    <w:p>
      <w:pPr>
        <w:pStyle w:val="Heading2"/>
        <w:pageBreakBefore/>
      </w:pPr>
      <w:r>
        <w:rPr>
          <w:rFonts w:ascii="Arial" w:cs="Arial" w:eastAsia="Arial" w:hAnsi="Arial"/>
        </w:rPr>
        <w:t xml:space="preserve">Day 5: Models + LangChain – document input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LLM/LRM/LMM | Agentic Workflows – LangChain Essentials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S023, S024, S025, S026, S027</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S021, S022</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Receipt/merchant evidence examples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Decide evidence handling for text versus multimodal sources.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Data-processing design note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ChargebackIQ may assemble evidence, track deadlines and draft recommendations. Accept/represent decisions, customer credits and network submissions are made by authorised dispute investigators and approvers; high-value or near-deadline disputes require approver sign-off.</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CAP-05 | Day 05 / CAP-05</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Day05_SourceLocked_5W1H_Architecture.pptx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Reference app codebase + planned day-specific lab (not yet standalone)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Banking SOP → Tokenizer/Embeddings → LLM config</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S023</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Tokenization &amp; Embedding Techniques (Byte Pair Encoding)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S024</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Reasoning Tokens &amp; Inference Strategies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S025</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Max New Tokens, Sampling, Temperature, Top_K, Top_P</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S026</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LMMs: DALL-E, Imagen, Diffusion Models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S027</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Agentic Workflows – LangChain Essentials  | Introduction to LangChain Architecture</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Capstone work in this hour</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S023</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Tokenization &amp; Embedding Techniques (Byte Pair Encoding)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Evidence token/embedding</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S024</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Reasoning Tokens &amp; Inference Strategies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Inference strategy</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S025</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Max New Tokens, Sampling, Temperature, Top_K, Top_P</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Generation settings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S026, S027</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LMMs: DALL-E, Imagen, Diffusion Models</w:t>
            </w:r>
          </w:p>
          <w:p>
            <w:pPr>
              <w:spacing w:after="20"/>
            </w:pPr>
            <w:r>
              <w:rPr>
                <w:rFonts w:ascii="Arial" w:cs="Arial" w:eastAsia="Arial" w:hAnsi="Arial"/>
                <w:sz w:val="15"/>
                <w:szCs w:val="15"/>
              </w:rPr>
              <w:t xml:space="preserve">Agentic Workflows – LangChain Essentials | Introduction to LangChain Architecture</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Text vs multimodal</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5" descr="Day 5 workflow for ChargebackIQ" title="Day 5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S023</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Estimate token sizes and embedding approach for receipt and merchant text evidence.</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Evidence size drives cost, context limits and chunking.</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Evidence sizing note</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S024</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Decide where reasoning is needed (complex multi-document disputes).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Reasoning adds cost and latency; enable it only for complex disputes.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Inference decision</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S025</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Set generation parameters for recommendations and narratives.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Recommendations feed regulated decisions and must be stable.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Generation settings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S026, S027</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Decide evidence handling for text vs multimodal sources and map to LangChain components.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Image evidence needs a different pipeline and a human fallback.</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Data-processing design note</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Estimate token sizes and embedding approach for receipt and merchant text evidence.</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S023</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Estimate tokens per evidence type (receipts, merchant letters, delivery proofs); choose an embedding approach for text evidence.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Evidence size drives cost, context limits and chunking.</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Evidence sizing note</w:t>
      </w:r>
    </w:p>
    <w:p>
      <w:pPr>
        <w:spacing w:after="60" w:before="120"/>
      </w:pPr>
      <w:r>
        <w:rPr>
          <w:rFonts w:ascii="Arial" w:cs="Arial" w:eastAsia="Arial" w:hAnsi="Arial"/>
          <w:b/>
          <w:bCs/>
          <w:color w:val="17365D"/>
          <w:sz w:val="20"/>
          <w:szCs w:val="20"/>
        </w:rPr>
        <w:t xml:space="preserve">Step 2 – Decide where reasoning is needed (complex multi-document disputes).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S024</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Define criteria for enabling reasoning (multiple documents, conflicting dates); disable it for simple reason codes.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Reasoning adds cost and latency; enable it only for complex disputes.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Inference decision</w:t>
      </w:r>
    </w:p>
    <w:p>
      <w:pPr>
        <w:spacing w:after="60" w:before="120"/>
      </w:pPr>
      <w:r>
        <w:rPr>
          <w:rFonts w:ascii="Arial" w:cs="Arial" w:eastAsia="Arial" w:hAnsi="Arial"/>
          <w:b/>
          <w:bCs/>
          <w:color w:val="17365D"/>
          <w:sz w:val="20"/>
          <w:szCs w:val="20"/>
        </w:rPr>
        <w:t xml:space="preserve">Step 3 – Set generation parameters for recommendations and narratives.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S025</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Set low temperature and bounded max tokens for recommendations; record rationale.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Recommendations feed regulated decisions and must be stable.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Generation settings</w:t>
      </w:r>
    </w:p>
    <w:p>
      <w:pPr>
        <w:spacing w:after="60" w:before="120"/>
      </w:pPr>
      <w:r>
        <w:rPr>
          <w:rFonts w:ascii="Arial" w:cs="Arial" w:eastAsia="Arial" w:hAnsi="Arial"/>
          <w:b/>
          <w:bCs/>
          <w:color w:val="17365D"/>
          <w:sz w:val="20"/>
          <w:szCs w:val="20"/>
        </w:rPr>
        <w:t xml:space="preserve">Step 4 – Decide evidence handling for text vs multimodal sources and map to LangChain components.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S026, S027</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Per evidence type: extraction method, model, human fallback.</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Image evidence needs a different pipeline and a human fallback.</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Data-processing design note</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Receipt/merchant evidence examples</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Evidence token/embedding → Inference strategy → Generation settings → Text vs multimodal</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Data-processing design note</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Data-processing design note.</w:t>
      </w:r>
    </w:p>
    <w:p>
      <w:pPr>
        <w:pStyle w:val="ListParagraph"/>
        <w:numPr>
          <w:ilvl w:val="0"/>
          <w:numId w:val="2"/>
        </w:numPr>
        <w:spacing w:after="60"/>
      </w:pPr>
      <w:r>
        <w:rPr>
          <w:rFonts w:ascii="Arial" w:cs="Arial" w:eastAsia="Arial" w:hAnsi="Arial"/>
          <w:sz w:val="20"/>
          <w:szCs w:val="20"/>
        </w:rPr>
        <w:t xml:space="preserve">Every evidence type has a processing route.</w:t>
      </w:r>
    </w:p>
    <w:p>
      <w:pPr>
        <w:pStyle w:val="ListParagraph"/>
        <w:numPr>
          <w:ilvl w:val="0"/>
          <w:numId w:val="2"/>
        </w:numPr>
        <w:spacing w:after="60"/>
      </w:pPr>
      <w:r>
        <w:rPr>
          <w:rFonts w:ascii="Arial" w:cs="Arial" w:eastAsia="Arial" w:hAnsi="Arial"/>
          <w:sz w:val="20"/>
          <w:szCs w:val="20"/>
        </w:rPr>
        <w:t xml:space="preserve">Generation settings are justified.</w:t>
      </w:r>
    </w:p>
    <w:p>
      <w:pPr>
        <w:pStyle w:val="ListParagraph"/>
        <w:numPr>
          <w:ilvl w:val="0"/>
          <w:numId w:val="2"/>
        </w:numPr>
        <w:spacing w:after="60"/>
      </w:pPr>
      <w:r>
        <w:rPr>
          <w:rFonts w:ascii="Arial" w:cs="Arial" w:eastAsia="Arial" w:hAnsi="Arial"/>
          <w:sz w:val="20"/>
          <w:szCs w:val="20"/>
        </w:rPr>
        <w:t xml:space="preserve">Every step traces to its hourly block and source IDs (S023, S024, S025, S026, S027);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Data-processing design note becomes an explicit input for Day 6 — ChargebackIQ: workflow scaffolding (Day 6 input: Case phases and document inventory).</w:t>
      </w:r>
    </w:p>
    <w:p>
      <w:pPr>
        <w:pStyle w:val="Heading2"/>
        <w:pageBreakBefore/>
      </w:pPr>
      <w:r>
        <w:rPr>
          <w:rFonts w:ascii="Arial" w:cs="Arial" w:eastAsia="Arial" w:hAnsi="Arial"/>
        </w:rPr>
        <w:t xml:space="preserve">Day 6: LangChain + RAG – workflow scaffolding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Agentic Workflows – LangChain Essentials | Retrieval-Augmented Generation (RAG)</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S028, S029, S030, S031, S032, S033</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S027</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Case phases and document inventory</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Specify modular intake/retrieval/review services.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Service responsibility chart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ChargebackIQ may assemble evidence, track deadlines and draft recommendations. Accept/represent decisions, customer credits and network submissions are made by authorised dispute investigators and approvers; high-value or near-deadline disputes require approver sign-off.</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CAP-06 | Day 06 / CAP-06</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Day06_SourceLocked_5W1H_Architecture.pptx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Reference app codebase + planned day-specific lab (not yet standalone)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Request → LangChain chain → Mock tools → RAG retriever</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S028</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Model I/O &amp; Integration</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S029</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Chains, Prompt Templates, Sequential Flows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S030</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Memory &amp; Context Handling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S031</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Tool/Agent Integration</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S032</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Hands-on Workflow Creation</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S033</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Retrieval-Augmented Generation (RAG)  | Introduction to RAG &amp; Its Importance</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Capstone work in this hour</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S028</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Model I/O &amp; Integration</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Service I/O</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S029, S030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Chains, Prompt Templates, Sequential Flows</w:t>
            </w:r>
          </w:p>
          <w:p>
            <w:pPr>
              <w:spacing w:after="20"/>
            </w:pPr>
            <w:r>
              <w:rPr>
                <w:rFonts w:ascii="Arial" w:cs="Arial" w:eastAsia="Arial" w:hAnsi="Arial"/>
                <w:sz w:val="15"/>
                <w:szCs w:val="15"/>
              </w:rPr>
              <w:t xml:space="preserve">Memory &amp; Context Handling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Chains + memory</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S031</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Tool/Agent Integration</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Tool integration</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S032, S033</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Hands-on Workflow Creation</w:t>
            </w:r>
          </w:p>
          <w:p>
            <w:pPr>
              <w:spacing w:after="20"/>
            </w:pPr>
            <w:r>
              <w:rPr>
                <w:rFonts w:ascii="Arial" w:cs="Arial" w:eastAsia="Arial" w:hAnsi="Arial"/>
                <w:sz w:val="15"/>
                <w:szCs w:val="15"/>
              </w:rPr>
              <w:t xml:space="preserve">Retrieval-Augmented Generation (RAG) | Introduction to RAG &amp; Its Importance</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Responsibility chart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6" descr="Day 6 workflow for ChargebackIQ" title="Day 6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S028</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I/O contracts between intake, retrieval and review services.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Modular services can only be integrated and tested with clear contracts.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Service I/O contracts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S029, S030</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Specify chain flow and case memory across phases.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Disputes span days; memory must be per case, masked and retained correctly.</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Chain + memory spec</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S031</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List tools each service may call.</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Declaring tools per service limits what each service can do.</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Tool list per service</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S032, S033</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Produce the service responsibility chart including the RAG component.</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One chart gives reviewers the whole service design at a glance.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Service responsibility chart</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Define I/O contracts between intake, retrieval and review services.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S028</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Write request/response schemas for intake, retrieval and review services, including error responses and the correlation_id each call must carry.</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Modular services can only be integrated and tested with clear contracts.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Service I/O contracts</w:t>
      </w:r>
    </w:p>
    <w:p>
      <w:pPr>
        <w:spacing w:after="60" w:before="120"/>
      </w:pPr>
      <w:r>
        <w:rPr>
          <w:rFonts w:ascii="Arial" w:cs="Arial" w:eastAsia="Arial" w:hAnsi="Arial"/>
          <w:b/>
          <w:bCs/>
          <w:color w:val="17365D"/>
          <w:sz w:val="20"/>
          <w:szCs w:val="20"/>
        </w:rPr>
        <w:t xml:space="preserve">Step 2 – Specify chain flow and case memory across phases.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S029, S030</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Specify chain order per phase and per-case memory with retention and masking rules.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Disputes span days; memory must be per case, masked and retained correctly.</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Chain + memory spec</w:t>
      </w:r>
    </w:p>
    <w:p>
      <w:pPr>
        <w:spacing w:after="60" w:before="120"/>
      </w:pPr>
      <w:r>
        <w:rPr>
          <w:rFonts w:ascii="Arial" w:cs="Arial" w:eastAsia="Arial" w:hAnsi="Arial"/>
          <w:b/>
          <w:bCs/>
          <w:color w:val="17365D"/>
          <w:sz w:val="20"/>
          <w:szCs w:val="20"/>
        </w:rPr>
        <w:t xml:space="preserve">Step 3 – List tools each service may call.</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S031</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List tools per service and mark each read-only or write; write tools only for the review service with approval.</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Declaring tools per service limits what each service can do.</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Tool list per service</w:t>
      </w:r>
    </w:p>
    <w:p>
      <w:pPr>
        <w:spacing w:after="60" w:before="120"/>
      </w:pPr>
      <w:r>
        <w:rPr>
          <w:rFonts w:ascii="Arial" w:cs="Arial" w:eastAsia="Arial" w:hAnsi="Arial"/>
          <w:b/>
          <w:bCs/>
          <w:color w:val="17365D"/>
          <w:sz w:val="20"/>
          <w:szCs w:val="20"/>
        </w:rPr>
        <w:t xml:space="preserve">Step 4 – Produce the service responsibility chart including the RAG component.</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S032, S033</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Build a chart: service, owner, inputs, outputs, tools, RAG contract reference.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One chart gives reviewers the whole service design at a glance.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Service responsibility chart</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Case phases and document inventory</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Service I/O → Chains + memory → Tool integration → Responsibility chart</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Service responsibility chart</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Service responsibility chart.</w:t>
      </w:r>
    </w:p>
    <w:p>
      <w:pPr>
        <w:pStyle w:val="ListParagraph"/>
        <w:numPr>
          <w:ilvl w:val="0"/>
          <w:numId w:val="2"/>
        </w:numPr>
        <w:spacing w:after="60"/>
      </w:pPr>
      <w:r>
        <w:rPr>
          <w:rFonts w:ascii="Arial" w:cs="Arial" w:eastAsia="Arial" w:hAnsi="Arial"/>
          <w:sz w:val="20"/>
          <w:szCs w:val="20"/>
        </w:rPr>
        <w:t xml:space="preserve">No service has undeclared tools.</w:t>
      </w:r>
    </w:p>
    <w:p>
      <w:pPr>
        <w:pStyle w:val="ListParagraph"/>
        <w:numPr>
          <w:ilvl w:val="0"/>
          <w:numId w:val="2"/>
        </w:numPr>
        <w:spacing w:after="60"/>
      </w:pPr>
      <w:r>
        <w:rPr>
          <w:rFonts w:ascii="Arial" w:cs="Arial" w:eastAsia="Arial" w:hAnsi="Arial"/>
          <w:sz w:val="20"/>
          <w:szCs w:val="20"/>
        </w:rPr>
        <w:t xml:space="preserve">The RAG component has a defined contract.</w:t>
      </w:r>
    </w:p>
    <w:p>
      <w:pPr>
        <w:pStyle w:val="ListParagraph"/>
        <w:numPr>
          <w:ilvl w:val="0"/>
          <w:numId w:val="2"/>
        </w:numPr>
        <w:spacing w:after="60"/>
      </w:pPr>
      <w:r>
        <w:rPr>
          <w:rFonts w:ascii="Arial" w:cs="Arial" w:eastAsia="Arial" w:hAnsi="Arial"/>
          <w:sz w:val="20"/>
          <w:szCs w:val="20"/>
        </w:rPr>
        <w:t xml:space="preserve">Every step traces to its hourly block and source IDs (S028, S029, S030, S031, S032, S033);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Service responsibility chart becomes an explicit input for Day 7 — ChargebackIQ: dispute policy index design (Day 7 input: Chargeback policy and evidence list).</w:t>
      </w:r>
    </w:p>
    <w:p>
      <w:pPr>
        <w:pStyle w:val="Heading2"/>
        <w:pageBreakBefore/>
      </w:pPr>
      <w:r>
        <w:rPr>
          <w:rFonts w:ascii="Arial" w:cs="Arial" w:eastAsia="Arial" w:hAnsi="Arial"/>
        </w:rPr>
        <w:t xml:space="preserve">Day 7: RAG indexing – dispute policy index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Retrieval-Augmented Generation (RAG)</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S034, S035, S036, S037, S038, S039</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S033</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Chargeback policy and evidence list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Build retrieval evaluation questions and index design.</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Policy index specification</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ChargebackIQ may assemble evidence, track deadlines and draft recommendations. Accept/represent decisions, customer credits and network submissions are made by authorised dispute investigators and approvers; high-value or near-deadline disputes require approver sign-off.</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CAP-07 | Day 07 / CAP-07</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Day07_SourceLocked_5W1H_Architecture.pptx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Reference app codebase + planned day-specific lab (not yet standalone)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Documents → Chunking → Vector store → Retrieval → Citations</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S034</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Vector Databases for RAG (FAISS, Chroma)</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S035</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Chunking Strategies in RAG Applications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S036</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Semantic Search vs. Exact Matching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S037</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RAG for Domain-Specific Applications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S038</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Optimizing RAG for Large-Scale AI Models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S039</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Real-Time Information Retrieval Using RAG</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Capstone work in this hour</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S034</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Vector Databases for RAG (FAISS, Chroma)</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Store choice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S035, S036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Chunking Strategies in RAG Applications</w:t>
            </w:r>
          </w:p>
          <w:p>
            <w:pPr>
              <w:spacing w:after="20"/>
            </w:pPr>
            <w:r>
              <w:rPr>
                <w:rFonts w:ascii="Arial" w:cs="Arial" w:eastAsia="Arial" w:hAnsi="Arial"/>
                <w:sz w:val="15"/>
                <w:szCs w:val="15"/>
              </w:rPr>
              <w:t xml:space="preserve">Semantic Search vs. Exact Matching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Chunk + match plan</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S037</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RAG for Domain-Specific Applications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Evaluation questions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S038, S039</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Optimizing RAG for Large-Scale AI Models</w:t>
            </w:r>
          </w:p>
          <w:p>
            <w:pPr>
              <w:spacing w:after="20"/>
            </w:pPr>
            <w:r>
              <w:rPr>
                <w:rFonts w:ascii="Arial" w:cs="Arial" w:eastAsia="Arial" w:hAnsi="Arial"/>
                <w:sz w:val="15"/>
                <w:szCs w:val="15"/>
              </w:rPr>
              <w:t xml:space="preserve">Real-Time Information Retrieval Using RAG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Index specification</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7" descr="Day 7 workflow for ChargebackIQ" title="Day 7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S034</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Choose a vector store for the dispute policy index.</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Policy retrieval must filter by reason code and card network.</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Store decision</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S035, S036</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Plan chunking of chargeback policy and exact matching for reason codes.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Reason codes and network rule IDs must match exactly, not approximately.</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Chunk + match plan</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S037</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Build retrieval evaluation questions for dispute scenarios.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Index quality must be measurable before it is trusted.</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Retrieval questions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S038, S039</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Specify the policy index including scale and freshness rules.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Card-network rules change; the index must stay current.</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Policy index specification</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Choose a vector store for the dispute policy index.</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S034</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Compare stores on metadata filtering by reason code and card network; record choice.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Policy retrieval must filter by reason code and card network.</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Store decision</w:t>
      </w:r>
    </w:p>
    <w:p>
      <w:pPr>
        <w:spacing w:after="60" w:before="120"/>
      </w:pPr>
      <w:r>
        <w:rPr>
          <w:rFonts w:ascii="Arial" w:cs="Arial" w:eastAsia="Arial" w:hAnsi="Arial"/>
          <w:b/>
          <w:bCs/>
          <w:color w:val="17365D"/>
          <w:sz w:val="20"/>
          <w:szCs w:val="20"/>
        </w:rPr>
        <w:t xml:space="preserve">Step 2 – Plan chunking of chargeback policy and exact matching for reason codes.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S035, S036</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Choose heading-aware chunking for policy rules; require exact match on reason codes and network rule IDs.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Reason codes and network rule IDs must match exactly, not approximately.</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Chunk + match plan</w:t>
      </w:r>
    </w:p>
    <w:p>
      <w:pPr>
        <w:spacing w:after="60" w:before="120"/>
      </w:pPr>
      <w:r>
        <w:rPr>
          <w:rFonts w:ascii="Arial" w:cs="Arial" w:eastAsia="Arial" w:hAnsi="Arial"/>
          <w:b/>
          <w:bCs/>
          <w:color w:val="17365D"/>
          <w:sz w:val="20"/>
          <w:szCs w:val="20"/>
        </w:rPr>
        <w:t xml:space="preserve">Step 3 – Build retrieval evaluation questions for dispute scenarios.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S037</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Write 20 dispute questions, each with the expected policy section.</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Index quality must be measurable before it is trusted.</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Retrieval questions</w:t>
      </w:r>
    </w:p>
    <w:p>
      <w:pPr>
        <w:spacing w:after="60" w:before="120"/>
      </w:pPr>
      <w:r>
        <w:rPr>
          <w:rFonts w:ascii="Arial" w:cs="Arial" w:eastAsia="Arial" w:hAnsi="Arial"/>
          <w:b/>
          <w:bCs/>
          <w:color w:val="17365D"/>
          <w:sz w:val="20"/>
          <w:szCs w:val="20"/>
        </w:rPr>
        <w:t xml:space="preserve">Step 4 – Specify the policy index including scale and freshness rules.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S038, S039</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Specify fields, metadata (network, reason_code, version, effective_date), update cadence and re-index trigger.</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Card-network rules change; the index must stay current.</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Policy index specification</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Chargeback policy and evidence list</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Store choice → Chunk + match plan → Evaluation questions → Index specification</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Policy index specification</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Policy index specification.</w:t>
      </w:r>
    </w:p>
    <w:p>
      <w:pPr>
        <w:pStyle w:val="ListParagraph"/>
        <w:numPr>
          <w:ilvl w:val="0"/>
          <w:numId w:val="2"/>
        </w:numPr>
        <w:spacing w:after="60"/>
      </w:pPr>
      <w:r>
        <w:rPr>
          <w:rFonts w:ascii="Arial" w:cs="Arial" w:eastAsia="Arial" w:hAnsi="Arial"/>
          <w:sz w:val="20"/>
          <w:szCs w:val="20"/>
        </w:rPr>
        <w:t xml:space="preserve">Every evaluation question has an expected section.</w:t>
      </w:r>
    </w:p>
    <w:p>
      <w:pPr>
        <w:pStyle w:val="ListParagraph"/>
        <w:numPr>
          <w:ilvl w:val="0"/>
          <w:numId w:val="2"/>
        </w:numPr>
        <w:spacing w:after="60"/>
      </w:pPr>
      <w:r>
        <w:rPr>
          <w:rFonts w:ascii="Arial" w:cs="Arial" w:eastAsia="Arial" w:hAnsi="Arial"/>
          <w:sz w:val="20"/>
          <w:szCs w:val="20"/>
        </w:rPr>
        <w:t xml:space="preserve">Freshness rule names a trigger.</w:t>
      </w:r>
    </w:p>
    <w:p>
      <w:pPr>
        <w:pStyle w:val="ListParagraph"/>
        <w:numPr>
          <w:ilvl w:val="0"/>
          <w:numId w:val="2"/>
        </w:numPr>
        <w:spacing w:after="60"/>
      </w:pPr>
      <w:r>
        <w:rPr>
          <w:rFonts w:ascii="Arial" w:cs="Arial" w:eastAsia="Arial" w:hAnsi="Arial"/>
          <w:sz w:val="20"/>
          <w:szCs w:val="20"/>
        </w:rPr>
        <w:t xml:space="preserve">Every step traces to its hourly block and source IDs (S034, S035, S036, S037, S038, S039);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Policy index specification becomes an explicit input for Day 8 — ChargebackIQ: evidence retrieval constraints (Day 8 input: Gold dispute questions, doc set).</w:t>
      </w:r>
    </w:p>
    <w:p>
      <w:pPr>
        <w:pStyle w:val="Heading2"/>
        <w:pageBreakBefore/>
      </w:pPr>
      <w:r>
        <w:rPr>
          <w:rFonts w:ascii="Arial" w:cs="Arial" w:eastAsia="Arial" w:hAnsi="Arial"/>
        </w:rPr>
        <w:t xml:space="preserve">Day 8: RAG advanced – evidence retrieval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Retrieval-Augmented Generation (RAG)</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S040, S041, S042, S043, S044, S045</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S034, S035, S036, S037, S038, S039</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Gold dispute questions, doc set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Define evidence provenance and retrieval pass/fail gates.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RAG quality-gate specification</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ChargebackIQ may assemble evidence, track deadlines and draft recommendations. Accept/represent decisions, customer credits and network submissions are made by authorised dispute investigators and approvers; high-value or near-deadline disputes require approver sign-off.</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CAP-08 | Day 08 / CAP-08</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Day08_SourceLocked_5W1H_Architecture.pptx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Reference app codebase + planned day-specific lab (not yet standalone)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Hybrid retrieval → Evidence selection → Faithfulness test</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S040</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Challenges in RAG Implementation</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S041</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Hybrid Search &amp; Multi-Query RAG Systems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S042</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Multi-modal RAG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S043</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Agentic RAG: using an agent to determine how to retrieve the most relevant information before answering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S044</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*RAG Evaluation (faithfulness, retrieval precision/recall)*</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S045</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Guidelines and Best Practices</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Capstone work in this hour</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Challenges in RAG Implementation</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Challenges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S041, S042</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Hybrid Search &amp; Multi-Query RAG Systems</w:t>
            </w:r>
          </w:p>
          <w:p>
            <w:pPr>
              <w:spacing w:after="20"/>
            </w:pPr>
            <w:r>
              <w:rPr>
                <w:rFonts w:ascii="Arial" w:cs="Arial" w:eastAsia="Arial" w:hAnsi="Arial"/>
                <w:sz w:val="15"/>
                <w:szCs w:val="15"/>
              </w:rPr>
              <w:t xml:space="preserve">Multi-modal RAG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Retrieval options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S043</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Agentic RAG: using an agent to determine how to retrieve the most relevant information before answering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Agentic retrieval</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S044, S045</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*RAG Evaluation (faithfulness, retrieval precision/recall)*</w:t>
            </w:r>
          </w:p>
          <w:p>
            <w:pPr>
              <w:spacing w:after="20"/>
            </w:pPr>
            <w:r>
              <w:rPr>
                <w:rFonts w:ascii="Arial" w:cs="Arial" w:eastAsia="Arial" w:hAnsi="Arial"/>
                <w:sz w:val="15"/>
                <w:szCs w:val="15"/>
              </w:rPr>
              <w:t xml:space="preserve">Guidelines and Best Practices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Quality gates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8" descr="Day 8 workflow for ChargebackIQ" title="Day 8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S040</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Identify RAG challenges specific to disputes (similar reason codes, outdated rules).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Gate design must target the challenges disputes actually present.</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Challenge list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S041, S042</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Decide hybrid/multi-query and multimodal retrieval requirements.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Dispute evidence spans text, documents and images.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Retrieval requirements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S043</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Decide whether agentic retrieval is allowed and under what limits.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Autonomous retrieval must be bounded to approved sources.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Agentic retrieval rule</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S044, S045</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evidence provenance and retrieval pass/fail gates.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Acceptance needs objective, numeric retrieval thresholds.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RAG quality-gate specification</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Identify RAG challenges specific to disputes (similar reason codes, outdated rules).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S040</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List dispute-specific RAG challenges (similar reason codes, outdated network rules, long merchant files) with mitigation.</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Gate design must target the challenges disputes actually present.</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Challenge list</w:t>
      </w:r>
    </w:p>
    <w:p>
      <w:pPr>
        <w:spacing w:after="60" w:before="120"/>
      </w:pPr>
      <w:r>
        <w:rPr>
          <w:rFonts w:ascii="Arial" w:cs="Arial" w:eastAsia="Arial" w:hAnsi="Arial"/>
          <w:b/>
          <w:bCs/>
          <w:color w:val="17365D"/>
          <w:sz w:val="20"/>
          <w:szCs w:val="20"/>
        </w:rPr>
        <w:t xml:space="preserve">Step 2 – Decide hybrid/multi-query and multimodal retrieval requirements.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S041, S042</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State where hybrid and multi-query retrieval are required and where multimodal evidence needs extraction first.</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Dispute evidence spans text, documents and images.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Retrieval requirements</w:t>
      </w:r>
    </w:p>
    <w:p>
      <w:pPr>
        <w:spacing w:after="60" w:before="120"/>
      </w:pPr>
      <w:r>
        <w:rPr>
          <w:rFonts w:ascii="Arial" w:cs="Arial" w:eastAsia="Arial" w:hAnsi="Arial"/>
          <w:b/>
          <w:bCs/>
          <w:color w:val="17365D"/>
          <w:sz w:val="20"/>
          <w:szCs w:val="20"/>
        </w:rPr>
        <w:t xml:space="preserve">Step 3 – Decide whether agentic retrieval is allowed and under what limits.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S043</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Allow agentic source selection only across approved indexes with max steps; log every routing decision.</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Autonomous retrieval must be bounded to approved sources.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Agentic retrieval rule</w:t>
      </w:r>
    </w:p>
    <w:p>
      <w:pPr>
        <w:spacing w:after="60" w:before="120"/>
      </w:pPr>
      <w:r>
        <w:rPr>
          <w:rFonts w:ascii="Arial" w:cs="Arial" w:eastAsia="Arial" w:hAnsi="Arial"/>
          <w:b/>
          <w:bCs/>
          <w:color w:val="17365D"/>
          <w:sz w:val="20"/>
          <w:szCs w:val="20"/>
        </w:rPr>
        <w:t xml:space="preserve">Step 4 – Define evidence provenance and retrieval pass/fail gates.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S044, S045</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Set thresholds (e.g., faithfulness ≥ 0.9, precision@3 ≥ 0.8); require provenance fields (source, section, version, retrieved_at) on every evidence item.</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Acceptance needs objective, numeric retrieval thresholds.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RAG quality-gate specification</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Gold dispute questions, doc set</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Challenges → Retrieval options → Agentic retrieval → Quality gates</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RAG quality-gate specification</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RAG quality-gate specification.</w:t>
      </w:r>
    </w:p>
    <w:p>
      <w:pPr>
        <w:pStyle w:val="ListParagraph"/>
        <w:numPr>
          <w:ilvl w:val="0"/>
          <w:numId w:val="2"/>
        </w:numPr>
        <w:spacing w:after="60"/>
      </w:pPr>
      <w:r>
        <w:rPr>
          <w:rFonts w:ascii="Arial" w:cs="Arial" w:eastAsia="Arial" w:hAnsi="Arial"/>
          <w:sz w:val="20"/>
          <w:szCs w:val="20"/>
        </w:rPr>
        <w:t xml:space="preserve">Gates have numeric thresholds.</w:t>
      </w:r>
    </w:p>
    <w:p>
      <w:pPr>
        <w:pStyle w:val="ListParagraph"/>
        <w:numPr>
          <w:ilvl w:val="0"/>
          <w:numId w:val="2"/>
        </w:numPr>
        <w:spacing w:after="60"/>
      </w:pPr>
      <w:r>
        <w:rPr>
          <w:rFonts w:ascii="Arial" w:cs="Arial" w:eastAsia="Arial" w:hAnsi="Arial"/>
          <w:sz w:val="20"/>
          <w:szCs w:val="20"/>
        </w:rPr>
        <w:t xml:space="preserve">Provenance is required for every evidence item.</w:t>
      </w:r>
    </w:p>
    <w:p>
      <w:pPr>
        <w:pStyle w:val="ListParagraph"/>
        <w:numPr>
          <w:ilvl w:val="0"/>
          <w:numId w:val="2"/>
        </w:numPr>
        <w:spacing w:after="60"/>
      </w:pPr>
      <w:r>
        <w:rPr>
          <w:rFonts w:ascii="Arial" w:cs="Arial" w:eastAsia="Arial" w:hAnsi="Arial"/>
          <w:sz w:val="20"/>
          <w:szCs w:val="20"/>
        </w:rPr>
        <w:t xml:space="preserve">Every step traces to its hourly block and source IDs (S040, S041, S042, S043, S044, S045);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RAG quality-gate specification becomes an explicit input for Day 9 — ChargebackIQ: agent scope and permissions (Day 9 input: Dispute workflow and decision rights).</w:t>
      </w:r>
    </w:p>
    <w:p>
      <w:pPr>
        <w:pStyle w:val="Heading2"/>
        <w:pageBreakBefore/>
      </w:pPr>
      <w:r>
        <w:rPr>
          <w:rFonts w:ascii="Arial" w:cs="Arial" w:eastAsia="Arial" w:hAnsi="Arial"/>
        </w:rPr>
        <w:t xml:space="preserve">Day 9: Agent foundations – agent scope and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Demystifying Agentic AI</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S046, S047, S048, S049, S050, S051</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S044, S045</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Dispute workflow and decision rights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Document investigator/reviewer/approver authority.</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Agent governance map</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ChargebackIQ may assemble evidence, track deadlines and draft recommendations. Accept/represent decisions, customer credits and network submissions are made by authorised dispute investigators and approvers; high-value or near-deadline disputes require approver sign-off.</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CAP-09 | Day 09 / CAP-09</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Day09_SourceLocked_5W1H_Architecture.pptx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Reference app codebase + planned day-specific lab (not yet standalone)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Case intake → Suitability decision → Read-only agent</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S046</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Demystifying Agentic AI  | Understanding Agentic vs. Non-Agentic AI Systems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S047</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Overview of Autonomous Agents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S048</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Agents vs. Models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S049</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What is an LLM Agent — Role of LLMs in Autonomous Systems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S050</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When (and When Not) to Use Agents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S051</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Questions to Ask Before Considering an AI Agent</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Capstone work in this hour</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Demystifying Agentic AI | Understanding Agentic vs. Non-Agentic AI Systems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Agentic scope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S047, S048</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Overview of Autonomous Agents</w:t>
            </w:r>
          </w:p>
          <w:p>
            <w:pPr>
              <w:spacing w:after="20"/>
            </w:pPr>
            <w:r>
              <w:rPr>
                <w:rFonts w:ascii="Arial" w:cs="Arial" w:eastAsia="Arial" w:hAnsi="Arial"/>
                <w:sz w:val="15"/>
                <w:szCs w:val="15"/>
              </w:rPr>
              <w:t xml:space="preserve">Agents vs. Models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Agent components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S049</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What is an LLM Agent — Role of LLMs in Autonomous Systems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LLM role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S050, S051</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When (and When Not) to Use Agents</w:t>
            </w:r>
          </w:p>
          <w:p>
            <w:pPr>
              <w:spacing w:after="20"/>
            </w:pPr>
            <w:r>
              <w:rPr>
                <w:rFonts w:ascii="Arial" w:cs="Arial" w:eastAsia="Arial" w:hAnsi="Arial"/>
                <w:sz w:val="15"/>
                <w:szCs w:val="15"/>
              </w:rPr>
              <w:t xml:space="preserve">Questions to Ask Before Considering an AI Agent</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Authority map</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9" descr="Day 9 workflow for ChargebackIQ" title="Day 9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S046</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Decide which dispute steps may be agentic.</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Autonomy is limited to low-risk evidence tasks.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Agentic scope</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S047, S048</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Identify agent vs model components for investigation.</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Each component is a separate governance and test target.</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Component map</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S049</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the LLM role in dispute investigation.</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Dispute outcomes stay with authorised humans.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LLM role</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S050, S051</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Document investigator, reviewer and approver authority.</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Separation of duties between investigator, reviewer and approver is mandatory.</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Agent governance map</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Decide which dispute steps may be agentic.</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S046</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List dispute steps and mark agentic, deterministic or human; keep decisions and submissions out of agent scope.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Autonomy is limited to low-risk evidence tasks.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Agentic scope</w:t>
      </w:r>
    </w:p>
    <w:p>
      <w:pPr>
        <w:spacing w:after="60" w:before="120"/>
      </w:pPr>
      <w:r>
        <w:rPr>
          <w:rFonts w:ascii="Arial" w:cs="Arial" w:eastAsia="Arial" w:hAnsi="Arial"/>
          <w:b/>
          <w:bCs/>
          <w:color w:val="17365D"/>
          <w:sz w:val="20"/>
          <w:szCs w:val="20"/>
        </w:rPr>
        <w:t xml:space="preserve">Step 2 – Identify agent vs model components for investigation.</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S047, S048</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Label loop, tools, memory and model on the investigation flow.</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Each component is a separate governance and test target.</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Component map</w:t>
      </w:r>
    </w:p>
    <w:p>
      <w:pPr>
        <w:spacing w:after="60" w:before="120"/>
      </w:pPr>
      <w:r>
        <w:rPr>
          <w:rFonts w:ascii="Arial" w:cs="Arial" w:eastAsia="Arial" w:hAnsi="Arial"/>
          <w:b/>
          <w:bCs/>
          <w:color w:val="17365D"/>
          <w:sz w:val="20"/>
          <w:szCs w:val="20"/>
        </w:rPr>
        <w:t xml:space="preserve">Step 3 – Define the LLM role in dispute investigation.</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S049</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State the LLM gathers and summarises evidence and drafts narratives; it never decides outcomes.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Dispute outcomes stay with authorised humans.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LLM role</w:t>
      </w:r>
    </w:p>
    <w:p>
      <w:pPr>
        <w:spacing w:after="60" w:before="120"/>
      </w:pPr>
      <w:r>
        <w:rPr>
          <w:rFonts w:ascii="Arial" w:cs="Arial" w:eastAsia="Arial" w:hAnsi="Arial"/>
          <w:b/>
          <w:bCs/>
          <w:color w:val="17365D"/>
          <w:sz w:val="20"/>
          <w:szCs w:val="20"/>
        </w:rPr>
        <w:t xml:space="preserve">Step 4 – Document investigator, reviewer and approver authority.</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S050, S051</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Build a map: role, may do, may not do, evidence required, approver.</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Separation of duties between investigator, reviewer and approver is mandatory.</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Agent governance map</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Dispute workflow and decision rights</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Agentic scope → Agent components → LLM role → Authority map</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Agent governance map</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Agent governance map.</w:t>
      </w:r>
    </w:p>
    <w:p>
      <w:pPr>
        <w:pStyle w:val="ListParagraph"/>
        <w:numPr>
          <w:ilvl w:val="0"/>
          <w:numId w:val="2"/>
        </w:numPr>
        <w:spacing w:after="60"/>
      </w:pPr>
      <w:r>
        <w:rPr>
          <w:rFonts w:ascii="Arial" w:cs="Arial" w:eastAsia="Arial" w:hAnsi="Arial"/>
          <w:sz w:val="20"/>
          <w:szCs w:val="20"/>
        </w:rPr>
        <w:t xml:space="preserve">The agent has no approval authority.</w:t>
      </w:r>
    </w:p>
    <w:p>
      <w:pPr>
        <w:pStyle w:val="ListParagraph"/>
        <w:numPr>
          <w:ilvl w:val="0"/>
          <w:numId w:val="2"/>
        </w:numPr>
        <w:spacing w:after="60"/>
      </w:pPr>
      <w:r>
        <w:rPr>
          <w:rFonts w:ascii="Arial" w:cs="Arial" w:eastAsia="Arial" w:hAnsi="Arial"/>
          <w:sz w:val="20"/>
          <w:szCs w:val="20"/>
        </w:rPr>
        <w:t xml:space="preserve">Each role's authority is explicit.</w:t>
      </w:r>
    </w:p>
    <w:p>
      <w:pPr>
        <w:pStyle w:val="ListParagraph"/>
        <w:numPr>
          <w:ilvl w:val="0"/>
          <w:numId w:val="2"/>
        </w:numPr>
        <w:spacing w:after="60"/>
      </w:pPr>
      <w:r>
        <w:rPr>
          <w:rFonts w:ascii="Arial" w:cs="Arial" w:eastAsia="Arial" w:hAnsi="Arial"/>
          <w:sz w:val="20"/>
          <w:szCs w:val="20"/>
        </w:rPr>
        <w:t xml:space="preserve">Every step traces to its hourly block and source IDs (S046, S047, S048, S049, S050, S051);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Agent governance map becomes an explicit input for Day 10 — ChargebackIQ: escalation trigger design (Day 10 input: Case lifecycle and action inventory).</w:t>
      </w:r>
    </w:p>
    <w:p>
      <w:pPr>
        <w:pStyle w:val="Heading2"/>
        <w:pageBreakBefore/>
      </w:pPr>
      <w:r>
        <w:rPr>
          <w:rFonts w:ascii="Arial" w:cs="Arial" w:eastAsia="Arial" w:hAnsi="Arial"/>
        </w:rPr>
        <w:t xml:space="preserve">Day 10: Agent runtime – escalation trigger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Demystifying Agentic AI | Context, Harness &amp; Loop Engineering</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S052, S053, S054, S055, S056, S057, S058</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S046, S047, S048, S049, S050, S051</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Case lifecycle and action inventory</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Choose decisions requiring human approval.</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Escalation policy</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ChargebackIQ may assemble evidence, track deadlines and draft recommendations. Accept/represent decisions, customer credits and network submissions are made by authorised dispute investigators and approvers; high-value or near-deadline disputes require approver sign-off.</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CAP-10 | Day 10 / CAP-10</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Day10_SourceLocked_5W1H_Architecture.pptx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Reference app codebase + planned day-specific lab (not yet standalone)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Perceive → Plan → Allowed tool → Observe → Stop</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S052</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ReAct Framework — Concept of Thought, Action, Input and Observation</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S053</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Language-Action Agents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S054</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Agent Runtime — Orchestration Layer</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S055</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Tools — Function Calling / Extensions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S056</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Context, Harness &amp; Loop Engineering  | *Context Engineering vs Prompt Engineering — what's the difference*</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S057</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*Context Window Management (system/developer/user context layering)*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S058</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*Long-context Windows vs RAG — when to use which*</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Capstone work in this hour</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S052</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ReAct Framework — Concept of Thought, Action, Input and Observation</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Lifecycle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S053, S054</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Language-Action Agents</w:t>
            </w:r>
          </w:p>
          <w:p>
            <w:pPr>
              <w:spacing w:after="20"/>
            </w:pPr>
            <w:r>
              <w:rPr>
                <w:rFonts w:ascii="Arial" w:cs="Arial" w:eastAsia="Arial" w:hAnsi="Arial"/>
                <w:sz w:val="15"/>
                <w:szCs w:val="15"/>
              </w:rPr>
              <w:t xml:space="preserve">Agent Runtime — Orchestration Layer</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Action inventory</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S055, S056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Tools — Function Calling / Extensions</w:t>
            </w:r>
          </w:p>
          <w:p>
            <w:pPr>
              <w:spacing w:after="20"/>
            </w:pPr>
            <w:r>
              <w:rPr>
                <w:rFonts w:ascii="Arial" w:cs="Arial" w:eastAsia="Arial" w:hAnsi="Arial"/>
                <w:sz w:val="15"/>
                <w:szCs w:val="15"/>
              </w:rPr>
              <w:t xml:space="preserve">Context, Harness &amp; Loop Engineering | *Context Engineering vs Prompt Engineering — what's the difference*</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Tool + context rules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S057, S058</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*Context Window Management (system/developer/user context layering)*</w:t>
            </w:r>
          </w:p>
          <w:p>
            <w:pPr>
              <w:spacing w:after="20"/>
            </w:pPr>
            <w:r>
              <w:rPr>
                <w:rFonts w:ascii="Arial" w:cs="Arial" w:eastAsia="Arial" w:hAnsi="Arial"/>
                <w:sz w:val="15"/>
                <w:szCs w:val="15"/>
              </w:rPr>
              <w:t xml:space="preserve">*Long-context Windows vs RAG — when to use which*</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Escalation policy</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10" descr="Day 10 workflow for ChargebackIQ" title="Day 10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S052</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Map the case lifecycle with ReAct-style investigation steps.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The lifecycle shows where actions and decisions occur.</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Lifecycle map</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S053, S054</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Inventory actions available to the runtime.</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Every runtime action needs a control decision based on risk and reversibility.</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Action inventory</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S055, S056</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tool contracts and context rules for investigation.</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Tool and context rules constrain what the agent can do and see.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Tool/context rules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S057, S058</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Choose decisions requiring human approval and escalation triggers.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Consequential or time-critical actions need a person.</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Escalation policy</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Map the case lifecycle with ReAct-style investigation steps.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S052</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Map states (received → investigating → pending_review → decided → submitted) and the actions in each.</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The lifecycle shows where actions and decisions occur.</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Lifecycle map</w:t>
      </w:r>
    </w:p>
    <w:p>
      <w:pPr>
        <w:spacing w:after="60" w:before="120"/>
      </w:pPr>
      <w:r>
        <w:rPr>
          <w:rFonts w:ascii="Arial" w:cs="Arial" w:eastAsia="Arial" w:hAnsi="Arial"/>
          <w:b/>
          <w:bCs/>
          <w:color w:val="17365D"/>
          <w:sz w:val="20"/>
          <w:szCs w:val="20"/>
        </w:rPr>
        <w:t xml:space="preserve">Step 2 – Inventory actions available to the runtime.</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S053, S054</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List every runtime action with risk rating and reversibility.</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Every runtime action needs a control decision based on risk and reversibility.</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Action inventory</w:t>
      </w:r>
    </w:p>
    <w:p>
      <w:pPr>
        <w:spacing w:after="60" w:before="120"/>
      </w:pPr>
      <w:r>
        <w:rPr>
          <w:rFonts w:ascii="Arial" w:cs="Arial" w:eastAsia="Arial" w:hAnsi="Arial"/>
          <w:b/>
          <w:bCs/>
          <w:color w:val="17365D"/>
          <w:sz w:val="20"/>
          <w:szCs w:val="20"/>
        </w:rPr>
        <w:t xml:space="preserve">Step 3 – Define tool contracts and context rules for investigation.</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S055, S056</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Write tool schemas and the list of context items allowed per turn.</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Tool and context rules constrain what the agent can do and see.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Tool/context rules</w:t>
      </w:r>
    </w:p>
    <w:p>
      <w:pPr>
        <w:spacing w:after="60" w:before="120"/>
      </w:pPr>
      <w:r>
        <w:rPr>
          <w:rFonts w:ascii="Arial" w:cs="Arial" w:eastAsia="Arial" w:hAnsi="Arial"/>
          <w:b/>
          <w:bCs/>
          <w:color w:val="17365D"/>
          <w:sz w:val="20"/>
          <w:szCs w:val="20"/>
        </w:rPr>
        <w:t xml:space="preserve">Step 4 – Choose decisions requiring human approval and escalation triggers.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S057, S058</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Define triggers (amount threshold, deadline &lt; 48h, conflicting evidence, fraud indicators) and the role each escalates to.</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Consequential or time-critical actions need a person.</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Escalation policy</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Case lifecycle and action inventory</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Lifecycle → Action inventory → Tool + context rules → Escalation policy</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Escalation policy</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Escalation policy.</w:t>
      </w:r>
    </w:p>
    <w:p>
      <w:pPr>
        <w:pStyle w:val="ListParagraph"/>
        <w:numPr>
          <w:ilvl w:val="0"/>
          <w:numId w:val="2"/>
        </w:numPr>
        <w:spacing w:after="60"/>
      </w:pPr>
      <w:r>
        <w:rPr>
          <w:rFonts w:ascii="Arial" w:cs="Arial" w:eastAsia="Arial" w:hAnsi="Arial"/>
          <w:sz w:val="20"/>
          <w:szCs w:val="20"/>
        </w:rPr>
        <w:t xml:space="preserve">Every irreversible action requires approval.</w:t>
      </w:r>
    </w:p>
    <w:p>
      <w:pPr>
        <w:pStyle w:val="ListParagraph"/>
        <w:numPr>
          <w:ilvl w:val="0"/>
          <w:numId w:val="2"/>
        </w:numPr>
        <w:spacing w:after="60"/>
      </w:pPr>
      <w:r>
        <w:rPr>
          <w:rFonts w:ascii="Arial" w:cs="Arial" w:eastAsia="Arial" w:hAnsi="Arial"/>
          <w:sz w:val="20"/>
          <w:szCs w:val="20"/>
        </w:rPr>
        <w:t xml:space="preserve">Triggers are testable.</w:t>
      </w:r>
    </w:p>
    <w:p>
      <w:pPr>
        <w:pStyle w:val="ListParagraph"/>
        <w:numPr>
          <w:ilvl w:val="0"/>
          <w:numId w:val="2"/>
        </w:numPr>
        <w:spacing w:after="60"/>
      </w:pPr>
      <w:r>
        <w:rPr>
          <w:rFonts w:ascii="Arial" w:cs="Arial" w:eastAsia="Arial" w:hAnsi="Arial"/>
          <w:sz w:val="20"/>
          <w:szCs w:val="20"/>
        </w:rPr>
        <w:t xml:space="preserve">Every step traces to its hourly block and source IDs (S052, S053, S054, S055, S056, S057, S058);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Escalation policy becomes an explicit input for Day 11 — ChargebackIQ: policy-based review gate (Day 11 input: High-value disputes and escalation rules).</w:t>
      </w:r>
    </w:p>
    <w:p>
      <w:pPr>
        <w:pStyle w:val="Heading2"/>
        <w:pageBreakBefore/>
      </w:pPr>
      <w:r>
        <w:rPr>
          <w:rFonts w:ascii="Arial" w:cs="Arial" w:eastAsia="Arial" w:hAnsi="Arial"/>
        </w:rPr>
        <w:t xml:space="preserve">Day 11: Harness + HITL – policy-based review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Context, Harness &amp; Loop Engineering</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S059, S060, S061, S062, S063, S064, S065, S066</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S052, S053, S054, S055, S056, S057, S058</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High-value disputes and escalation rules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Specify permission matrix and approver workflow.</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Control matrix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ChargebackIQ may assemble evidence, track deadlines and draft recommendations. Accept/represent decisions, customer credits and network submissions are made by authorised dispute investigators and approvers; high-value or near-deadline disputes require approver sign-off.</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CAP-11 | Day 11 / CAP-11</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Day11_SourceLocked_5W1H_Architecture.pptx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Reference app codebase + planned day-specific lab (not yet standalone)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Supervisor → Harness → Tools → Approval gate → Audit</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S059</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*Context Compaction &amp; Summarization Strategies*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S060</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*What is an Agent Harness — tools, memory, guardrails, execution environment*</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S061</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*Building a Custom Harness vs Using a Framework (LangChain/LangGraph)*</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S062</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*Sandboxing &amp; Permission Boundaries in Harnesses*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S063</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*The Agent Loop — Perceive → Plan → Act → Observe*</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S064</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*ReAct Loop vs Plan-and-Execute Loop*</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S065</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*Loop Termination Conditions &amp; Infinite-Loop Prevention*</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S066</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*Human-in-the-Loop Checkpoints Inside the Loop*</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Capstone work in this hour</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S059, S060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*Context Compaction &amp; Summarization Strategies*</w:t>
            </w:r>
          </w:p>
          <w:p>
            <w:pPr>
              <w:spacing w:after="20"/>
            </w:pPr>
            <w:r>
              <w:rPr>
                <w:rFonts w:ascii="Arial" w:cs="Arial" w:eastAsia="Arial" w:hAnsi="Arial"/>
                <w:sz w:val="15"/>
                <w:szCs w:val="15"/>
              </w:rPr>
              <w:t xml:space="preserve">*What is an Agent Harness — tools, memory, guardrails, execution environment*</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Harness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S061, S062</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*Building a Custom Harness vs Using a Framework (LangChain/LangGraph)*</w:t>
            </w:r>
          </w:p>
          <w:p>
            <w:pPr>
              <w:spacing w:after="20"/>
            </w:pPr>
            <w:r>
              <w:rPr>
                <w:rFonts w:ascii="Arial" w:cs="Arial" w:eastAsia="Arial" w:hAnsi="Arial"/>
                <w:sz w:val="15"/>
                <w:szCs w:val="15"/>
              </w:rPr>
              <w:t xml:space="preserve">*Sandboxing &amp; Permission Boundaries in Harnesses*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Permission matrix</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S063, S064</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 Agent Loop — Perceive → Plan → Act → Observe*</w:t>
            </w:r>
          </w:p>
          <w:p>
            <w:pPr>
              <w:spacing w:after="20"/>
            </w:pPr>
            <w:r>
              <w:rPr>
                <w:rFonts w:ascii="Arial" w:cs="Arial" w:eastAsia="Arial" w:hAnsi="Arial"/>
                <w:sz w:val="15"/>
                <w:szCs w:val="15"/>
              </w:rPr>
              <w:t xml:space="preserve">*ReAct Loop vs Plan-and-Execute Loop*</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Loop choice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S065, S066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*Loop Termination Conditions &amp; Infinite-Loop Prevention*</w:t>
            </w:r>
          </w:p>
          <w:p>
            <w:pPr>
              <w:spacing w:after="20"/>
            </w:pPr>
            <w:r>
              <w:rPr>
                <w:rFonts w:ascii="Arial" w:cs="Arial" w:eastAsia="Arial" w:hAnsi="Arial"/>
                <w:sz w:val="15"/>
                <w:szCs w:val="15"/>
              </w:rPr>
              <w:t xml:space="preserve">*Human-in-the-Loop Checkpoints Inside the Loop*</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Approver workflow</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11" descr="Day 11 workflow for ChargebackIQ" title="Day 11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S059, S060</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the capstone harness and compaction for long dispute files.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The harness is where the capstone's controls actually run.</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Harness spec</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S061, S062</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Specify permission matrix and sandbox boundaries.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Permissions must enforce separation of duties in code.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Permission matrix</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S063, S064</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Choose loop pattern (ReAct vs plan-and-execute) for investigation.</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The loop pattern must fit the investigation task.</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Loop decision</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S065, S066</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Specify termination rules and the approver workflow for high-value disputes.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High-value outcomes need a documented review gate.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Control matrix</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Define the capstone harness and compaction for long dispute files.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S059, S060</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Specify harness components and owners; define compaction for long merchant files keeping amounts and dates verbatim.</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The harness is where the capstone's controls actually run.</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Harness spec</w:t>
      </w:r>
    </w:p>
    <w:p>
      <w:pPr>
        <w:spacing w:after="60" w:before="120"/>
      </w:pPr>
      <w:r>
        <w:rPr>
          <w:rFonts w:ascii="Arial" w:cs="Arial" w:eastAsia="Arial" w:hAnsi="Arial"/>
          <w:b/>
          <w:bCs/>
          <w:color w:val="17365D"/>
          <w:sz w:val="20"/>
          <w:szCs w:val="20"/>
        </w:rPr>
        <w:t xml:space="preserve">Step 2 – Specify permission matrix and sandbox boundaries.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S061, S062</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Create role × action matrix; state how denial is enforced in code.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Permissions must enforce separation of duties in code.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Permission matrix</w:t>
      </w:r>
    </w:p>
    <w:p>
      <w:pPr>
        <w:spacing w:after="60" w:before="120"/>
      </w:pPr>
      <w:r>
        <w:rPr>
          <w:rFonts w:ascii="Arial" w:cs="Arial" w:eastAsia="Arial" w:hAnsi="Arial"/>
          <w:b/>
          <w:bCs/>
          <w:color w:val="17365D"/>
          <w:sz w:val="20"/>
          <w:szCs w:val="20"/>
        </w:rPr>
        <w:t xml:space="preserve">Step 3 – Choose loop pattern (ReAct vs plan-and-execute) for investigation.</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S063, S064</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Compare ReAct and plan-and-execute for investigation; record choice and reason.</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The loop pattern must fit the investigation task.</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Loop decision</w:t>
      </w:r>
    </w:p>
    <w:p>
      <w:pPr>
        <w:spacing w:after="60" w:before="120"/>
      </w:pPr>
      <w:r>
        <w:rPr>
          <w:rFonts w:ascii="Arial" w:cs="Arial" w:eastAsia="Arial" w:hAnsi="Arial"/>
          <w:b/>
          <w:bCs/>
          <w:color w:val="17365D"/>
          <w:sz w:val="20"/>
          <w:szCs w:val="20"/>
        </w:rPr>
        <w:t xml:space="preserve">Step 4 – Specify termination rules and the approver workflow for high-value disputes.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S065, S066</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Specify max steps and repeat-action stops; define approver workflow for high-value disputes; compile the control matrix (control, owner, frequency, evidence).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High-value outcomes need a documented review gate.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Control matrix</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High-value disputes and escalation rules</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Harness → Permission matrix → Loop choice → Approver workflow</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Control matrix</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Control matrix.</w:t>
      </w:r>
    </w:p>
    <w:p>
      <w:pPr>
        <w:pStyle w:val="ListParagraph"/>
        <w:numPr>
          <w:ilvl w:val="0"/>
          <w:numId w:val="2"/>
        </w:numPr>
        <w:spacing w:after="60"/>
      </w:pPr>
      <w:r>
        <w:rPr>
          <w:rFonts w:ascii="Arial" w:cs="Arial" w:eastAsia="Arial" w:hAnsi="Arial"/>
          <w:sz w:val="20"/>
          <w:szCs w:val="20"/>
        </w:rPr>
        <w:t xml:space="preserve">High-value disputes always reach an approver.</w:t>
      </w:r>
    </w:p>
    <w:p>
      <w:pPr>
        <w:pStyle w:val="ListParagraph"/>
        <w:numPr>
          <w:ilvl w:val="0"/>
          <w:numId w:val="2"/>
        </w:numPr>
        <w:spacing w:after="60"/>
      </w:pPr>
      <w:r>
        <w:rPr>
          <w:rFonts w:ascii="Arial" w:cs="Arial" w:eastAsia="Arial" w:hAnsi="Arial"/>
          <w:sz w:val="20"/>
          <w:szCs w:val="20"/>
        </w:rPr>
        <w:t xml:space="preserve">Loop termination is specified.</w:t>
      </w:r>
    </w:p>
    <w:p>
      <w:pPr>
        <w:pStyle w:val="ListParagraph"/>
        <w:numPr>
          <w:ilvl w:val="0"/>
          <w:numId w:val="2"/>
        </w:numPr>
        <w:spacing w:after="60"/>
      </w:pPr>
      <w:r>
        <w:rPr>
          <w:rFonts w:ascii="Arial" w:cs="Arial" w:eastAsia="Arial" w:hAnsi="Arial"/>
          <w:sz w:val="20"/>
          <w:szCs w:val="20"/>
        </w:rPr>
        <w:t xml:space="preserve">Every step traces to its hourly block and source IDs (S059, S060, S061, S062, S063, S064, S065, S066);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Control matrix becomes an explicit input for Day 12 — ChargebackIQ: multi-role graph design (Day 12 input: Agent charter and data contracts).</w:t>
      </w:r>
    </w:p>
    <w:p>
      <w:pPr>
        <w:pStyle w:val="Heading2"/>
        <w:pageBreakBefore/>
      </w:pPr>
      <w:r>
        <w:rPr>
          <w:rFonts w:ascii="Arial" w:cs="Arial" w:eastAsia="Arial" w:hAnsi="Arial"/>
        </w:rPr>
        <w:t xml:space="preserve">Day 12: LangGraph – multi-role graph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LangGraph/CrewAI/AutoGen – Advanced AI Agents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S067, S068, S069, S070, S071</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S060, S061, S062, S063, S064, S065, S066</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Agent charter and data contracts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Draft multi-agent state diagram.</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Agent interaction blueprint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ChargebackIQ may assemble evidence, track deadlines and draft recommendations. Accept/represent decisions, customer credits and network submissions are made by authorised dispute investigators and approvers; high-value or near-deadline disputes require approver sign-off.</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CAP-12 | Day 12 / CAP-12</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Day12_SourceLocked_5W1H_Architecture.pptx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Reference app codebase + planned day-specific lab (not yet standalone)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Graph START → Triage → Transaction → Policy → Review</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S067</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LangGraph/CrewAI/AutoGen – Advanced AI Agents  | Introduction to LangGraph, CrewAI, and AutoGen</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S068</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Key Components of LangGraph (Nodes, Edges, States)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S069</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LangGraph/AutoGen for Autonomous LLM Applications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S070</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Real-Time Data Processing with LangGraph</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S071</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Building Stateful AI Systems</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Capstone work in this hour</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S067</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LangGraph/CrewAI/AutoGen – Advanced AI Agents | Introduction to LangGraph, CrewAI, and AutoGen</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Framework</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S068</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Key Components of LangGraph (Nodes, Edges, States)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State schema</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S069</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LangGraph/AutoGen for Autonomous LLM Applications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Roles in graph</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S070, S071</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Real-Time Data Processing with LangGraph</w:t>
            </w:r>
          </w:p>
          <w:p>
            <w:pPr>
              <w:spacing w:after="20"/>
            </w:pPr>
            <w:r>
              <w:rPr>
                <w:rFonts w:ascii="Arial" w:cs="Arial" w:eastAsia="Arial" w:hAnsi="Arial"/>
                <w:sz w:val="15"/>
                <w:szCs w:val="15"/>
              </w:rPr>
              <w:t xml:space="preserve">Building Stateful AI Systems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Blueprint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12" descr="Day 12 workflow for ChargebackIQ" title="Day 12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S067</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Select a multi-agent framework for the capstone.</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 single framework keeps the build consistent across the team.</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Framework decision</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S068</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dispute state and data contracts.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Explicit state is required for audit and resume.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State schema</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S069</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Place intake, evidence, policy, drafting and review roles as nodes.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Named roles structure collaboration between agents.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Role nodes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S070, S071</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Draft the multi-agent state diagram with real-time deadline events.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Response deadlines drive urgency and must change routing.</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Agent interaction blueprint</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Select a multi-agent framework for the capstone.</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S067</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Score frameworks on state control, HITL and audit; record choice.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A single framework keeps the build consistent across the team.</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Framework decision</w:t>
      </w:r>
    </w:p>
    <w:p>
      <w:pPr>
        <w:spacing w:after="60" w:before="120"/>
      </w:pPr>
      <w:r>
        <w:rPr>
          <w:rFonts w:ascii="Arial" w:cs="Arial" w:eastAsia="Arial" w:hAnsi="Arial"/>
          <w:b/>
          <w:bCs/>
          <w:color w:val="17365D"/>
          <w:sz w:val="20"/>
          <w:szCs w:val="20"/>
        </w:rPr>
        <w:t xml:space="preserve">Step 2 – Define dispute state and data contracts.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S068</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Define dispute state fields and the data contract each node reads and writes.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Explicit state is required for audit and resume.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State schema</w:t>
      </w:r>
    </w:p>
    <w:p>
      <w:pPr>
        <w:spacing w:after="60" w:before="120"/>
      </w:pPr>
      <w:r>
        <w:rPr>
          <w:rFonts w:ascii="Arial" w:cs="Arial" w:eastAsia="Arial" w:hAnsi="Arial"/>
          <w:b/>
          <w:bCs/>
          <w:color w:val="17365D"/>
          <w:sz w:val="20"/>
          <w:szCs w:val="20"/>
        </w:rPr>
        <w:t xml:space="preserve">Step 3 – Place intake, evidence, policy, drafting and review roles as nodes.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S069</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Place intake, evidence, policy, drafting and review roles as graph nodes; state each node's inputs, outputs and allowed tools.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Named roles structure collaboration between agents.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Role nodes</w:t>
      </w:r>
    </w:p>
    <w:p>
      <w:pPr>
        <w:spacing w:after="60" w:before="120"/>
      </w:pPr>
      <w:r>
        <w:rPr>
          <w:rFonts w:ascii="Arial" w:cs="Arial" w:eastAsia="Arial" w:hAnsi="Arial"/>
          <w:b/>
          <w:bCs/>
          <w:color w:val="17365D"/>
          <w:sz w:val="20"/>
          <w:szCs w:val="20"/>
        </w:rPr>
        <w:t xml:space="preserve">Step 4 – Draft the multi-agent state diagram with real-time deadline events.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S070, S071</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Draw the state diagram with a mandatory review node and deadline events that raise priority.</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Response deadlines drive urgency and must change routing.</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Agent interaction blueprint</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Agent charter and data contracts</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Framework → State schema → Roles in graph → Blueprint</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Agent interaction blueprint</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Agent interaction blueprint.</w:t>
      </w:r>
    </w:p>
    <w:p>
      <w:pPr>
        <w:pStyle w:val="ListParagraph"/>
        <w:numPr>
          <w:ilvl w:val="0"/>
          <w:numId w:val="2"/>
        </w:numPr>
        <w:spacing w:after="60"/>
      </w:pPr>
      <w:r>
        <w:rPr>
          <w:rFonts w:ascii="Arial" w:cs="Arial" w:eastAsia="Arial" w:hAnsi="Arial"/>
          <w:sz w:val="20"/>
          <w:szCs w:val="20"/>
        </w:rPr>
        <w:t xml:space="preserve">The blueprint shows a mandatory review node.</w:t>
      </w:r>
    </w:p>
    <w:p>
      <w:pPr>
        <w:pStyle w:val="ListParagraph"/>
        <w:numPr>
          <w:ilvl w:val="0"/>
          <w:numId w:val="2"/>
        </w:numPr>
        <w:spacing w:after="60"/>
      </w:pPr>
      <w:r>
        <w:rPr>
          <w:rFonts w:ascii="Arial" w:cs="Arial" w:eastAsia="Arial" w:hAnsi="Arial"/>
          <w:sz w:val="20"/>
          <w:szCs w:val="20"/>
        </w:rPr>
        <w:t xml:space="preserve">Deadline events are handled.</w:t>
      </w:r>
    </w:p>
    <w:p>
      <w:pPr>
        <w:pStyle w:val="ListParagraph"/>
        <w:numPr>
          <w:ilvl w:val="0"/>
          <w:numId w:val="2"/>
        </w:numPr>
        <w:spacing w:after="60"/>
      </w:pPr>
      <w:r>
        <w:rPr>
          <w:rFonts w:ascii="Arial" w:cs="Arial" w:eastAsia="Arial" w:hAnsi="Arial"/>
          <w:sz w:val="20"/>
          <w:szCs w:val="20"/>
        </w:rPr>
        <w:t xml:space="preserve">Every step traces to its hourly block and source IDs (S067, S068, S069, S070, S071);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Agent interaction blueprint becomes an explicit input for Day 13 — ChargebackIQ: orchestration baseline (Day 13 input: Dispute state chart and policy sources).</w:t>
      </w:r>
    </w:p>
    <w:p>
      <w:pPr>
        <w:pStyle w:val="Heading2"/>
        <w:pageBreakBefore/>
      </w:pPr>
      <w:r>
        <w:rPr>
          <w:rFonts w:ascii="Arial" w:cs="Arial" w:eastAsia="Arial" w:hAnsi="Arial"/>
        </w:rPr>
        <w:t xml:space="preserve">Day 13: Graph + Protocol intro – orchestration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r>
              <w:t>LangGraph/CrewAI/AutoGen – Advanced AI Agents | Architecting Agentic Systems – MCP &amp; A2A Protocols | Applied Data Processing — Batch Fundamentals &amp; Streaming Fundamentals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S072, S073, S074, S075, S076, S077, S078</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S067, S068, S069, S070, S071</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Dispute state chart and policy sources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Create agent-to-agent handoff specification.</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A2A message contract draft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ChargebackIQ may assemble evidence, track deadlines and draft recommendations. Accept/represent decisions, customer credits and network submissions are made by authorised dispute investigators and approvers; high-value or near-deadline disputes require approver sign-off.</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CAP-13 | Day 13 / CAP-13</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Day13_SourceLocked_5W1H_Architecture.pptx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r>
              <w:t>Runnable local source code is provided in the ZIP and mapped in the master workbook. See source path in the applied-module section below.</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LangGraph → MCP client → Banking tools; A2A → Agents</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S072</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Advanced Orchestration Techniques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S073</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Building Multi-Actor Applications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S074</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Cycles and Branching; Memory/Persistence; Human in the Loop (HITL); Streaming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S075</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Guidelines and Best Practices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S076</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Architecting Agentic Systems – MCP &amp; A2A Protocols  | Principles of Agentic AI Application Design (Architecture level)</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S077</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MCP (Model Context Protocol) — MCP Server / Host / Client</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S078</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A2A (Agent-to-Agent Protocol)</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Capstone work in this hour</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S072</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Advanced Orchestration Techniques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Orchestration baseline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S073, S074</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Building Multi-Actor Applications</w:t>
            </w:r>
          </w:p>
          <w:p>
            <w:pPr>
              <w:spacing w:after="20"/>
            </w:pPr>
            <w:r>
              <w:rPr>
                <w:rFonts w:ascii="Arial" w:cs="Arial" w:eastAsia="Arial" w:hAnsi="Arial"/>
                <w:sz w:val="15"/>
                <w:szCs w:val="15"/>
              </w:rPr>
              <w:t xml:space="preserve">Cycles and Branching; Memory/Persistence; Human in the Loop (HITL); Streaming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Cycles + HITL</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S075, S076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Guidelines and Best Practices</w:t>
            </w:r>
          </w:p>
          <w:p>
            <w:pPr>
              <w:spacing w:after="20"/>
            </w:pPr>
            <w:r>
              <w:rPr>
                <w:rFonts w:ascii="Arial" w:cs="Arial" w:eastAsia="Arial" w:hAnsi="Arial"/>
                <w:sz w:val="15"/>
                <w:szCs w:val="15"/>
              </w:rPr>
              <w:t xml:space="preserve">Architecting Agentic Systems – MCP &amp; A2A Protocols | Principles of Agentic AI Application Design (Architecture level)</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Principles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S077, S078</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MCP (Model Context Protocol) — MCP Server / Host / Client</w:t>
            </w:r>
          </w:p>
          <w:p>
            <w:pPr>
              <w:spacing w:after="20"/>
            </w:pPr>
            <w:r>
              <w:rPr>
                <w:rFonts w:ascii="Arial" w:cs="Arial" w:eastAsia="Arial" w:hAnsi="Arial"/>
                <w:sz w:val="15"/>
                <w:szCs w:val="15"/>
              </w:rPr>
              <w:t xml:space="preserve">A2A (Agent-to-Agent Protocol)</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A2A contract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13" descr="Day 13 workflow for ChargebackIQ" title="Day 13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S072</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the orchestration baseline across roles.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All roles need a common, predictable control flow.</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Orchestration baseline</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S073, S074</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Specify cycles, persistence, HITL and streaming points.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Rework and review loops must be designed, not improvised.</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Flow controls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S075, S076</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Apply design principles and best practices.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Principles keep handoffs safe as the design grows.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Principles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S077, S078</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Create the agent-to-agent handoff specification and MCP tool boundary.</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Standard handoff messages make agent collaboration auditable.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A2A message contract draft</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Define the orchestration baseline across roles.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S072</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Define the supervisor, execution order across roles and what happens when a role fails or times out.</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All roles need a common, predictable control flow.</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Orchestration baseline</w:t>
      </w:r>
    </w:p>
    <w:p>
      <w:pPr>
        <w:spacing w:after="60" w:before="120"/>
      </w:pPr>
      <w:r>
        <w:rPr>
          <w:rFonts w:ascii="Arial" w:cs="Arial" w:eastAsia="Arial" w:hAnsi="Arial"/>
          <w:b/>
          <w:bCs/>
          <w:color w:val="17365D"/>
          <w:sz w:val="20"/>
          <w:szCs w:val="20"/>
        </w:rPr>
        <w:t xml:space="preserve">Step 2 – Specify cycles, persistence, HITL and streaming points.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S073, S074</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Mark where rework cycles, persistence, human review and streaming updates apply.</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Rework and review loops must be designed, not improvised.</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Flow controls</w:t>
      </w:r>
    </w:p>
    <w:p>
      <w:pPr>
        <w:spacing w:after="60" w:before="120"/>
      </w:pPr>
      <w:r>
        <w:rPr>
          <w:rFonts w:ascii="Arial" w:cs="Arial" w:eastAsia="Arial" w:hAnsi="Arial"/>
          <w:b/>
          <w:bCs/>
          <w:color w:val="17365D"/>
          <w:sz w:val="20"/>
          <w:szCs w:val="20"/>
        </w:rPr>
        <w:t xml:space="preserve">Step 3 – Apply design principles and best practices.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S075, S076</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Apply least privilege, explicit state, bounded loops and human authority to every handoff; record exceptions to these principles with justification.</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Principles keep handoffs safe as the design grows.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Principles</w:t>
      </w:r>
    </w:p>
    <w:p>
      <w:pPr>
        <w:spacing w:after="60" w:before="120"/>
      </w:pPr>
      <w:r>
        <w:rPr>
          <w:rFonts w:ascii="Arial" w:cs="Arial" w:eastAsia="Arial" w:hAnsi="Arial"/>
          <w:b/>
          <w:bCs/>
          <w:color w:val="17365D"/>
          <w:sz w:val="20"/>
          <w:szCs w:val="20"/>
        </w:rPr>
        <w:t xml:space="preserve">Step 4 – Create the agent-to-agent handoff specification and MCP tool boundary.</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S077, S078</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Write agent cards, a task message and a result message with correlation_id; place policy and evidence tools behind MCP.</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Standard handoff messages make agent collaboration auditable.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A2A message contract draft</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Dispute state chart and policy sources</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Orchestration baseline → Cycles + HITL → Principles → A2A contract</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A2A message contract draft</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A2A message contract draft.</w:t>
      </w:r>
    </w:p>
    <w:p>
      <w:pPr>
        <w:pStyle w:val="ListParagraph"/>
        <w:numPr>
          <w:ilvl w:val="0"/>
          <w:numId w:val="2"/>
        </w:numPr>
        <w:spacing w:after="60"/>
      </w:pPr>
      <w:r>
        <w:rPr>
          <w:rFonts w:ascii="Arial" w:cs="Arial" w:eastAsia="Arial" w:hAnsi="Arial"/>
          <w:sz w:val="20"/>
          <w:szCs w:val="20"/>
        </w:rPr>
        <w:t xml:space="preserve">Each handoff has a message schema.</w:t>
      </w:r>
    </w:p>
    <w:p>
      <w:pPr>
        <w:pStyle w:val="ListParagraph"/>
        <w:numPr>
          <w:ilvl w:val="0"/>
          <w:numId w:val="2"/>
        </w:numPr>
        <w:spacing w:after="60"/>
      </w:pPr>
      <w:r>
        <w:rPr>
          <w:rFonts w:ascii="Arial" w:cs="Arial" w:eastAsia="Arial" w:hAnsi="Arial"/>
          <w:sz w:val="20"/>
          <w:szCs w:val="20"/>
        </w:rPr>
        <w:t xml:space="preserve">MCP tools are separate from A2A messages.</w:t>
      </w:r>
    </w:p>
    <w:p>
      <w:pPr>
        <w:pStyle w:val="ListParagraph"/>
        <w:numPr>
          <w:ilvl w:val="0"/>
          <w:numId w:val="2"/>
        </w:numPr>
        <w:spacing w:after="60"/>
      </w:pPr>
      <w:r>
        <w:rPr>
          <w:rFonts w:ascii="Arial" w:cs="Arial" w:eastAsia="Arial" w:hAnsi="Arial"/>
          <w:sz w:val="20"/>
          <w:szCs w:val="20"/>
        </w:rPr>
        <w:t xml:space="preserve">Every step traces to its hourly block and source IDs (S072, S073, S074, S075, S076, S077, S078);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A2A message contract draft becomes an explicit input for Day 14 — ChargebackIQ: agent architecture review (Day 14 input: Agent boundaries, audit obligations).</w:t>
      </w:r>
    </w:p>
    <w:p>
      <w:pPr>
        <w:pStyle w:val="Heading2"/>
        <w:pageBreakBefore/>
      </w:pPr>
      <w:r>
        <w:rPr>
          <w:rFonts w:ascii="Arial" w:cs="Arial" w:eastAsia="Arial" w:hAnsi="Arial"/>
        </w:rPr>
        <w:t xml:space="preserve">Day 14: Architecting + Gemini intro – agent architecture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r>
              <w:t>Architecting Agentic Systems – MCP &amp; A2A Protocols | Gemini Enterprise Agent Development | Cloud Batch &amp; Event-Streaming Architecture — Pub/Sub, Dataflow/Apache Beam &amp; BigQuery</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S079, S080, S081, S082, S083, S084, S085, S086</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S076, S077, S078</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Agent boundaries, audit obligations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Produce architecture with protocol boundaries and risks.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Review-ready architecture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ChargebackIQ may assemble evidence, track deadlines and draft recommendations. Accept/represent decisions, customer credits and network submissions are made by authorised dispute investigators and approvers; high-value or near-deadline disputes require approver sign-off.</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CAP-14 | Day 14 / CAP-14</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Day14_SourceLocked_5W1H_Architecture.pptx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r>
              <w:t>Runnable local source code is provided in the ZIP and mapped in the master workbook. See source path in the applied-module section below.</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A2A coordinator → Specialist agents → Reviewer → Case outcome</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S079</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Multi-Agent Coordination Strategies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S080</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Architecting AI Workflows with Autonomous Agents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S081</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Designing Human-in-the-Loop Agentic Systems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S082</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Adaptive Agents for Dynamic Environments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S083</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Evaluating and Deploying Agents — LLMs as Judge</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S084</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Ethical &amp; Regulatory Considerations in AI Agents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S085</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Guidelines and Best Practices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S086</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Gemini Enterprise Agent Development  | *Use Agents to Build Agents*</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Capstone work in this hour</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S079, S080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Multi-Agent Coordination Strategies</w:t>
            </w:r>
          </w:p>
          <w:p>
            <w:pPr>
              <w:spacing w:after="20"/>
            </w:pPr>
            <w:r>
              <w:rPr>
                <w:rFonts w:ascii="Arial" w:cs="Arial" w:eastAsia="Arial" w:hAnsi="Arial"/>
                <w:sz w:val="15"/>
                <w:szCs w:val="15"/>
              </w:rPr>
              <w:t xml:space="preserve">Architecting AI Workflows with Autonomous Agents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Coordination</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S081, S082</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Designing Human-in-the-Loop Agentic Systems</w:t>
            </w:r>
          </w:p>
          <w:p>
            <w:pPr>
              <w:spacing w:after="20"/>
            </w:pPr>
            <w:r>
              <w:rPr>
                <w:rFonts w:ascii="Arial" w:cs="Arial" w:eastAsia="Arial" w:hAnsi="Arial"/>
                <w:sz w:val="15"/>
                <w:szCs w:val="15"/>
              </w:rPr>
              <w:t xml:space="preserve">Adaptive Agents for Dynamic Environments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HITL + adaptive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S083, S084</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Evaluating and Deploying Agents — LLMs as Judge</w:t>
            </w:r>
          </w:p>
          <w:p>
            <w:pPr>
              <w:spacing w:after="20"/>
            </w:pPr>
            <w:r>
              <w:rPr>
                <w:rFonts w:ascii="Arial" w:cs="Arial" w:eastAsia="Arial" w:hAnsi="Arial"/>
                <w:sz w:val="15"/>
                <w:szCs w:val="15"/>
              </w:rPr>
              <w:t xml:space="preserve">Ethical &amp; Regulatory Considerations in AI Agents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Judge + ethics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S085, S086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Guidelines and Best Practices</w:t>
            </w:r>
          </w:p>
          <w:p>
            <w:pPr>
              <w:spacing w:after="20"/>
            </w:pPr>
            <w:r>
              <w:rPr>
                <w:rFonts w:ascii="Arial" w:cs="Arial" w:eastAsia="Arial" w:hAnsi="Arial"/>
                <w:sz w:val="15"/>
                <w:szCs w:val="15"/>
              </w:rPr>
              <w:t xml:space="preserve">Gemini Enterprise Agent Development | *Use Agents to Build Agents*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Architecture review</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14" descr="Day 14 workflow for ChargebackIQ" title="Day 14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S079, S080</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Select coordination strategy and workflow architecture.</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The coordination pattern is the foundation of the architecture.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Coordination choice</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S081, S082</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Design HITL points and adaptive behaviour for changing rules.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Rule and tool changes must be handled safely.</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HITL/adaptive design</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S083, S084</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judge-based evaluation and ethical/regulatory review.</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Outcomes must be fair, compliant and measurably good.</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Evaluation + ethics notes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S085, S086</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Produce architecture with protocol boundaries and risks.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 complete architecture is required before peer review.</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Review-ready architecture</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Select coordination strategy and workflow architecture.</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S079, S080</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Compare supervisor, hierarchical and sequential patterns for ChargebackIQ; choose one and document rationale and rejected alternatives.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The coordination pattern is the foundation of the architecture.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Coordination choice</w:t>
      </w:r>
    </w:p>
    <w:p>
      <w:pPr>
        <w:spacing w:after="60" w:before="120"/>
      </w:pPr>
      <w:r>
        <w:rPr>
          <w:rFonts w:ascii="Arial" w:cs="Arial" w:eastAsia="Arial" w:hAnsi="Arial"/>
          <w:b/>
          <w:bCs/>
          <w:color w:val="17365D"/>
          <w:sz w:val="20"/>
          <w:szCs w:val="20"/>
        </w:rPr>
        <w:t xml:space="preserve">Step 2 – Design HITL points and adaptive behaviour for changing rules.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S081, S082</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Define review points and behaviour when network rules or tools change.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Rule and tool changes must be handled safely.</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HITL/adaptive design</w:t>
      </w:r>
    </w:p>
    <w:p>
      <w:pPr>
        <w:spacing w:after="60" w:before="120"/>
      </w:pPr>
      <w:r>
        <w:rPr>
          <w:rFonts w:ascii="Arial" w:cs="Arial" w:eastAsia="Arial" w:hAnsi="Arial"/>
          <w:b/>
          <w:bCs/>
          <w:color w:val="17365D"/>
          <w:sz w:val="20"/>
          <w:szCs w:val="20"/>
        </w:rPr>
        <w:t xml:space="preserve">Step 3 – Define judge-based evaluation and ethical/regulatory review.</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S083, S084</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Write judge rubric with human calibration; list ethical and regulatory review items (fair treatment, transparency, record keeping).</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Outcomes must be fair, compliant and measurably good.</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Evaluation + ethics notes</w:t>
      </w:r>
    </w:p>
    <w:p>
      <w:pPr>
        <w:spacing w:after="60" w:before="120"/>
      </w:pPr>
      <w:r>
        <w:rPr>
          <w:rFonts w:ascii="Arial" w:cs="Arial" w:eastAsia="Arial" w:hAnsi="Arial"/>
          <w:b/>
          <w:bCs/>
          <w:color w:val="17365D"/>
          <w:sz w:val="20"/>
          <w:szCs w:val="20"/>
        </w:rPr>
        <w:t xml:space="preserve">Step 4 – Produce architecture with protocol boundaries and risks.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S085, S086</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Produce the architecture diagram with MCP and A2A boundaries, an ADR (templates/architecture_decision.md) and a risk register (templates/risk_register.csv) with owners.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A complete architecture is required before peer review.</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Review-ready architecture</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Agent boundaries, audit obligations</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Coordination → HITL + adaptive → Judge + ethics → Architecture review</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Review-ready architecture</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Review-ready architecture.</w:t>
      </w:r>
    </w:p>
    <w:p>
      <w:pPr>
        <w:pStyle w:val="ListParagraph"/>
        <w:numPr>
          <w:ilvl w:val="0"/>
          <w:numId w:val="2"/>
        </w:numPr>
        <w:spacing w:after="60"/>
      </w:pPr>
      <w:r>
        <w:rPr>
          <w:rFonts w:ascii="Arial" w:cs="Arial" w:eastAsia="Arial" w:hAnsi="Arial"/>
          <w:sz w:val="20"/>
          <w:szCs w:val="20"/>
        </w:rPr>
        <w:t xml:space="preserve">All protocol boundaries are drawn.</w:t>
      </w:r>
    </w:p>
    <w:p>
      <w:pPr>
        <w:pStyle w:val="ListParagraph"/>
        <w:numPr>
          <w:ilvl w:val="0"/>
          <w:numId w:val="2"/>
        </w:numPr>
        <w:spacing w:after="60"/>
      </w:pPr>
      <w:r>
        <w:rPr>
          <w:rFonts w:ascii="Arial" w:cs="Arial" w:eastAsia="Arial" w:hAnsi="Arial"/>
          <w:sz w:val="20"/>
          <w:szCs w:val="20"/>
        </w:rPr>
        <w:t xml:space="preserve">Risks have owners.</w:t>
      </w:r>
    </w:p>
    <w:p>
      <w:pPr>
        <w:pStyle w:val="ListParagraph"/>
        <w:numPr>
          <w:ilvl w:val="0"/>
          <w:numId w:val="2"/>
        </w:numPr>
        <w:spacing w:after="60"/>
      </w:pPr>
      <w:r>
        <w:rPr>
          <w:rFonts w:ascii="Arial" w:cs="Arial" w:eastAsia="Arial" w:hAnsi="Arial"/>
          <w:sz w:val="20"/>
          <w:szCs w:val="20"/>
        </w:rPr>
        <w:t xml:space="preserve">Every step traces to its hourly block and source IDs (S079, S080, S081, S082, S083, S084, S085, S086);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Review-ready architecture becomes an explicit input for Day 15 — ChargebackIQ: evaluation plan (Day 15 input: Gold set and function-calling examples).</w:t>
      </w:r>
    </w:p>
    <w:p>
      <w:pPr>
        <w:pStyle w:val="Heading2"/>
        <w:pageBreakBefore/>
      </w:pPr>
      <w:r>
        <w:rPr>
          <w:rFonts w:ascii="Arial" w:cs="Arial" w:eastAsia="Arial" w:hAnsi="Arial"/>
        </w:rPr>
        <w:t xml:space="preserve">Day 15: ADK + Fine-tuning – evaluation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r>
              <w:t>Gemini Enterprise Agent Development | LLM Fine-Tuning &amp; Evaluation | Batch Validation &amp; Publisher Batching — Event Time, Windows, Watermarks &amp; Late Data</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S087, S088, S089, S090, S091, S092, S093</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S086</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Gold set and function-calling examples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Select task metrics, golden examples and tuning guardrails.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Capstone evaluation plan</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ChargebackIQ may assemble evidence, track deadlines and draft recommendations. Accept/represent decisions, customer credits and network submissions are made by authorised dispute investigators and approvers; high-value or near-deadline disputes require approver sign-off.</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CAP-15 | Day 15 / CAP-15</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Day15_SourceLocked_5W1H_Architecture.pptx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r>
              <w:t>Runnable local source code is provided in the ZIP and mapped in the master workbook. See source path in the applied-module section below.</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ADK agents → Dataset → Evaluation → Improvement → Repeat</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S087</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*Build and Deploy Agents with Agent Development Kit (ADK)*</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S088</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*Agent Evaluation and Hill Climbing*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S089</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LLM Fine-Tuning &amp; Evaluation  | Instruction vs Task-Specific Fine-Tuning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S090</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Parameter Efficient Tuning (LoRA, QLoRA, FLAN)</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S091</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Avoiding Catastrophic Forgetting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S092</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Evaluation Metrics: ROUGE, BLEU, MMLU, BIG-Bench, GLUE, HELM</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S093</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Fine-tuning for Function Calling</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Capstone work in this hour</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S087</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*Build and Deploy Agents with Agent Development Kit (ADK)*</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ADK plan</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S088, S089</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*Agent Evaluation and Hill Climbing*</w:t>
            </w:r>
          </w:p>
          <w:p>
            <w:pPr>
              <w:spacing w:after="20"/>
            </w:pPr>
            <w:r>
              <w:rPr>
                <w:rFonts w:ascii="Arial" w:cs="Arial" w:eastAsia="Arial" w:hAnsi="Arial"/>
                <w:sz w:val="15"/>
                <w:szCs w:val="15"/>
              </w:rPr>
              <w:t xml:space="preserve">LLM Fine-Tuning &amp; Evaluation | Instruction vs Task-Specific Fine-Tuning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Eval approach</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S090, S091</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Parameter Efficient Tuning (LoRA, QLoRA, FLAN)</w:t>
            </w:r>
          </w:p>
          <w:p>
            <w:pPr>
              <w:spacing w:after="20"/>
            </w:pPr>
            <w:r>
              <w:rPr>
                <w:rFonts w:ascii="Arial" w:cs="Arial" w:eastAsia="Arial" w:hAnsi="Arial"/>
                <w:sz w:val="15"/>
                <w:szCs w:val="15"/>
              </w:rPr>
              <w:t xml:space="preserve">Avoiding Catastrophic Forgetting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Tuning guardrails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S092, S093</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Evaluation Metrics: ROUGE, BLEU, MMLU, BIG-Bench, GLUE, HELM</w:t>
            </w:r>
          </w:p>
          <w:p>
            <w:pPr>
              <w:spacing w:after="20"/>
            </w:pPr>
            <w:r>
              <w:rPr>
                <w:rFonts w:ascii="Arial" w:cs="Arial" w:eastAsia="Arial" w:hAnsi="Arial"/>
                <w:sz w:val="15"/>
                <w:szCs w:val="15"/>
              </w:rPr>
              <w:t xml:space="preserve">Fine-tuning for Function Calling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Evaluation plan</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15" descr="Day 15 workflow for ChargebackIQ" title="Day 15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S087</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Plan ADK use for the capstone (subject to access).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ADK planning aligns the capstone with the target platform.</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ADK plan</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S088, S089</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hill-climbing evaluation approach; decide instruction vs task tuning need.</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Improvement must be structured and measured one change at a time.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Evaluation approach</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S090, S091</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Set tuning guardrails (PEFT choice, forgetting checks).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Guardrails prevent tuning that harms general capability.</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Tuning guardrails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S092, S093</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Select task metrics, golden examples and function-calling tests.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The evaluation plan defines what 'accepted' means.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Capstone evaluation plan</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Plan ADK use for the capstone (subject to access).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S087</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Plan ADK agents, tools and sessions for the capstone; record which parts need approved access and which will be demonstrated with mocks.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ADK planning aligns the capstone with the target platform.</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ADK plan</w:t>
      </w:r>
    </w:p>
    <w:p>
      <w:pPr>
        <w:spacing w:after="60" w:before="120"/>
      </w:pPr>
      <w:r>
        <w:rPr>
          <w:rFonts w:ascii="Arial" w:cs="Arial" w:eastAsia="Arial" w:hAnsi="Arial"/>
          <w:b/>
          <w:bCs/>
          <w:color w:val="17365D"/>
          <w:sz w:val="20"/>
          <w:szCs w:val="20"/>
        </w:rPr>
        <w:t xml:space="preserve">Step 2 – Define hill-climbing evaluation approach; decide instruction vs task tuning need.</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S088, S089</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Define dataset and one-change-per-cycle evaluation; decide whether instruction or task tuning is needed.</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Improvement must be structured and measured one change at a time.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Evaluation approach</w:t>
      </w:r>
    </w:p>
    <w:p>
      <w:pPr>
        <w:spacing w:after="60" w:before="120"/>
      </w:pPr>
      <w:r>
        <w:rPr>
          <w:rFonts w:ascii="Arial" w:cs="Arial" w:eastAsia="Arial" w:hAnsi="Arial"/>
          <w:b/>
          <w:bCs/>
          <w:color w:val="17365D"/>
          <w:sz w:val="20"/>
          <w:szCs w:val="20"/>
        </w:rPr>
        <w:t xml:space="preserve">Step 3 – Set tuning guardrails (PEFT choice, forgetting checks).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S090, S091</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Allow tuning only if prompting fails thresholds; require forgetting checks.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Guardrails prevent tuning that harms general capability.</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Tuning guardrails</w:t>
      </w:r>
    </w:p>
    <w:p>
      <w:pPr>
        <w:spacing w:after="60" w:before="120"/>
      </w:pPr>
      <w:r>
        <w:rPr>
          <w:rFonts w:ascii="Arial" w:cs="Arial" w:eastAsia="Arial" w:hAnsi="Arial"/>
          <w:b/>
          <w:bCs/>
          <w:color w:val="17365D"/>
          <w:sz w:val="20"/>
          <w:szCs w:val="20"/>
        </w:rPr>
        <w:t xml:space="preserve">Step 4 – Select task metrics, golden examples and function-calling tests.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S092, S093</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List metrics with thresholds, golden examples per reason code and function-calling tests.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The evaluation plan defines what 'accepted' means.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Capstone evaluation plan</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Gold set and function-calling examples</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ADK plan → Eval approach → Tuning guardrails → Evaluation plan</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Capstone evaluation plan</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Capstone evaluation plan.</w:t>
      </w:r>
    </w:p>
    <w:p>
      <w:pPr>
        <w:pStyle w:val="ListParagraph"/>
        <w:numPr>
          <w:ilvl w:val="0"/>
          <w:numId w:val="2"/>
        </w:numPr>
        <w:spacing w:after="60"/>
      </w:pPr>
      <w:r>
        <w:rPr>
          <w:rFonts w:ascii="Arial" w:cs="Arial" w:eastAsia="Arial" w:hAnsi="Arial"/>
          <w:sz w:val="20"/>
          <w:szCs w:val="20"/>
        </w:rPr>
        <w:t xml:space="preserve">Every metric has a threshold.</w:t>
      </w:r>
    </w:p>
    <w:p>
      <w:pPr>
        <w:pStyle w:val="ListParagraph"/>
        <w:numPr>
          <w:ilvl w:val="0"/>
          <w:numId w:val="2"/>
        </w:numPr>
        <w:spacing w:after="60"/>
      </w:pPr>
      <w:r>
        <w:rPr>
          <w:rFonts w:ascii="Arial" w:cs="Arial" w:eastAsia="Arial" w:hAnsi="Arial"/>
          <w:sz w:val="20"/>
          <w:szCs w:val="20"/>
        </w:rPr>
        <w:t xml:space="preserve">Golden examples cover each reason code.</w:t>
      </w:r>
    </w:p>
    <w:p>
      <w:pPr>
        <w:pStyle w:val="ListParagraph"/>
        <w:numPr>
          <w:ilvl w:val="0"/>
          <w:numId w:val="2"/>
        </w:numPr>
        <w:spacing w:after="60"/>
      </w:pPr>
      <w:r>
        <w:rPr>
          <w:rFonts w:ascii="Arial" w:cs="Arial" w:eastAsia="Arial" w:hAnsi="Arial"/>
          <w:sz w:val="20"/>
          <w:szCs w:val="20"/>
        </w:rPr>
        <w:t xml:space="preserve">Every step traces to its hourly block and source IDs (S087, S088, S089, S090, S091, S092, S093);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Capstone evaluation plan becomes an explicit input for Day 16 — ChargebackIQ: cross-agent reliability (Day 16 input: Capstone architecture and SLA targets).</w:t>
      </w:r>
    </w:p>
    <w:p>
      <w:pPr>
        <w:pStyle w:val="Heading2"/>
        <w:pageBreakBefore/>
      </w:pPr>
      <w:r>
        <w:rPr>
          <w:rFonts w:ascii="Arial" w:cs="Arial" w:eastAsia="Arial" w:hAnsi="Arial"/>
        </w:rPr>
        <w:t xml:space="preserve">Day 16: MCP/A2A advanced + Observability – cross-agent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0.75h concept + 3.25h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Instructor emphasis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MCP/A2A advanced + Observability</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r>
              <w:t>Deployment, Evaluation &amp; Observability | Streaming Observability &amp; Delivery Semantics — Correlation, Acknowledgement &amp; Durable Processing</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S094, S095, S096, S097, S098, S099, S100</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S076, S077, S078, S079, S080, S081, S082, S083, S084, S085</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Capstone architecture and SLA targets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Set correlation IDs, execution budgets and incident evidence requirements.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Protocol governance checklist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ChargebackIQ may assemble evidence, track deadlines and draft recommendations. Accept/represent decisions, customer credits and network submissions are made by authorised dispute investigators and approvers; high-value or near-deadline disputes require approver sign-off.</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CAP-16 | Day 16 / CAP-16</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Day16_SourceLocked_5W1H_Architecture.pptx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r>
              <w:t>Runnable local source code is provided in the ZIP and mapped in the master workbook. See source path in the applied-module section below.</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MCP host ↔ MCP client ↔ tool server; A2A → agent peers → telemetry</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S094</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Deployment, Evaluation &amp; Observability  | Observability: Understanding System Insights — Logs / Metrics / Traces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S095</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Observability: Issue Detection; Debugging; System Optimization; Security/Compliance</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S096</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Integration Best Practices with CI/CD and Developer Workflows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S097</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Evaluation — System Metrics, Task Completion, Quality Control, Tool Interaction Metrics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S098</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Evaluation — LLM/Agents as Judge</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S099</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Development Issues — Poorly Defined Prompts, etc.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S100</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LLM Issues — High Cost of Running; Planning/Reasoning/Tool Calling Failures</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Capstone work in this hour</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MCP/A2A applied architecture (revisit Days 13–14)</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S094</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Deployment, Evaluation &amp; Observability | Observability: Understanding System Insights — Logs / Metrics / Traces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S076, S077</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Correlation IDs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MCP/A2A role/message lab + new observability</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S095, S096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Observability: Issue Detection; Debugging; System Optimization; Security/Compliance</w:t>
            </w:r>
          </w:p>
          <w:p>
            <w:pPr>
              <w:spacing w:after="20"/>
            </w:pPr>
            <w:r>
              <w:rPr>
                <w:rFonts w:ascii="Arial" w:cs="Arial" w:eastAsia="Arial" w:hAnsi="Arial"/>
                <w:sz w:val="15"/>
                <w:szCs w:val="15"/>
              </w:rPr>
              <w:t xml:space="preserve">Integration Best Practices with CI/CD and Developer Workflows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S078, S079, S080</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Budgets + CI</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Operational observability and CI/CD</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S097, S098</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Evaluation — System Metrics, Task Completion, Quality Control, Tool Interaction Metrics</w:t>
            </w:r>
          </w:p>
          <w:p>
            <w:pPr>
              <w:spacing w:after="20"/>
            </w:pPr>
            <w:r>
              <w:rPr>
                <w:rFonts w:ascii="Arial" w:cs="Arial" w:eastAsia="Arial" w:hAnsi="Arial"/>
                <w:sz w:val="15"/>
                <w:szCs w:val="15"/>
              </w:rPr>
              <w:t xml:space="preserve">Evaluation — LLM/Agents as Judge</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S081, S082</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Reliability metrics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Operational evaluation and development failure modes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S099, S100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Development Issues — Poorly Defined Prompts, etc.</w:t>
            </w:r>
          </w:p>
          <w:p>
            <w:pPr>
              <w:spacing w:after="20"/>
            </w:pPr>
            <w:r>
              <w:rPr>
                <w:rFonts w:ascii="Arial" w:cs="Arial" w:eastAsia="Arial" w:hAnsi="Arial"/>
                <w:sz w:val="15"/>
                <w:szCs w:val="15"/>
              </w:rPr>
              <w:t xml:space="preserve">LLM Issues — High Cost of Running; Planning/Reasoning/Tool Calling Failures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S083, S084, S085</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Incident evidence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16" descr="Day 16 workflow for ChargebackIQ" title="Day 16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S094</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Set correlation IDs across services and agents.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Correlation IDs give end-to-end traceability for each dispute.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Correlation scheme</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S095, S096</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Set execution budgets and CI checks.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Budgets and CI checks control cost and prevent runaway loops.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Budgets + CI checks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S097, S098</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cross-agent reliability metrics and judge checks.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Cross-agent reliability must be measured against targets.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Reliability metrics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S099, S100</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incident evidence requirements and failure modes.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Defined incident evidence makes failures investigable.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Protocol governance checklist</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Set correlation IDs across services and agents.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S094</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Define correlation_id creation at intake and propagation through services, MCP and A2A.</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Correlation IDs give end-to-end traceability for each dispute.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Correlation scheme</w:t>
      </w:r>
    </w:p>
    <w:p>
      <w:pPr>
        <w:spacing w:after="60" w:before="120"/>
      </w:pPr>
      <w:r>
        <w:rPr>
          <w:rFonts w:ascii="Arial" w:cs="Arial" w:eastAsia="Arial" w:hAnsi="Arial"/>
          <w:b/>
          <w:bCs/>
          <w:color w:val="17365D"/>
          <w:sz w:val="20"/>
          <w:szCs w:val="20"/>
        </w:rPr>
        <w:t xml:space="preserve">Step 2 – Set execution budgets and CI checks.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S095, S096</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Set token, step and time budgets per case; add CI checks for schemas and budgets.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Budgets and CI checks control cost and prevent runaway loops.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Budgets + CI checks</w:t>
      </w:r>
    </w:p>
    <w:p>
      <w:pPr>
        <w:spacing w:after="60" w:before="120"/>
      </w:pPr>
      <w:r>
        <w:rPr>
          <w:rFonts w:ascii="Arial" w:cs="Arial" w:eastAsia="Arial" w:hAnsi="Arial"/>
          <w:b/>
          <w:bCs/>
          <w:color w:val="17365D"/>
          <w:sz w:val="20"/>
          <w:szCs w:val="20"/>
        </w:rPr>
        <w:t xml:space="preserve">Step 3 – Define cross-agent reliability metrics and judge checks.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S097, S098</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Define success rate, tool-call success, handoff latency and judge score targets.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Cross-agent reliability must be measured against targets.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Reliability metrics</w:t>
      </w:r>
    </w:p>
    <w:p>
      <w:pPr>
        <w:spacing w:after="60" w:before="120"/>
      </w:pPr>
      <w:r>
        <w:rPr>
          <w:rFonts w:ascii="Arial" w:cs="Arial" w:eastAsia="Arial" w:hAnsi="Arial"/>
          <w:b/>
          <w:bCs/>
          <w:color w:val="17365D"/>
          <w:sz w:val="20"/>
          <w:szCs w:val="20"/>
        </w:rPr>
        <w:t xml:space="preserve">Step 4 – Define incident evidence requirements and failure modes.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S099, S100</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List incident evidence (trace, inputs, versions, approvals) and failure modes to detect.</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Defined incident evidence makes failures investigable.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Protocol governance checklist</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Capstone architecture and SLA targets</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Correlation IDs → Budgets + CI → Reliability metrics → Incident evidence</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Protocol governance checklist</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Protocol governance checklist.</w:t>
      </w:r>
    </w:p>
    <w:p>
      <w:pPr>
        <w:pStyle w:val="ListParagraph"/>
        <w:numPr>
          <w:ilvl w:val="0"/>
          <w:numId w:val="2"/>
        </w:numPr>
        <w:spacing w:after="60"/>
      </w:pPr>
      <w:r>
        <w:rPr>
          <w:rFonts w:ascii="Arial" w:cs="Arial" w:eastAsia="Arial" w:hAnsi="Arial"/>
          <w:sz w:val="20"/>
          <w:szCs w:val="20"/>
        </w:rPr>
        <w:t xml:space="preserve">Budgets are enforced, not advisory.</w:t>
      </w:r>
    </w:p>
    <w:p>
      <w:pPr>
        <w:pStyle w:val="ListParagraph"/>
        <w:numPr>
          <w:ilvl w:val="0"/>
          <w:numId w:val="2"/>
        </w:numPr>
        <w:spacing w:after="60"/>
      </w:pPr>
      <w:r>
        <w:rPr>
          <w:rFonts w:ascii="Arial" w:cs="Arial" w:eastAsia="Arial" w:hAnsi="Arial"/>
          <w:sz w:val="20"/>
          <w:szCs w:val="20"/>
        </w:rPr>
        <w:t xml:space="preserve">Incident evidence is defined.</w:t>
      </w:r>
    </w:p>
    <w:p>
      <w:pPr>
        <w:pStyle w:val="ListParagraph"/>
        <w:numPr>
          <w:ilvl w:val="0"/>
          <w:numId w:val="2"/>
        </w:numPr>
        <w:spacing w:after="60"/>
      </w:pPr>
      <w:r>
        <w:rPr>
          <w:rFonts w:ascii="Arial" w:cs="Arial" w:eastAsia="Arial" w:hAnsi="Arial"/>
          <w:sz w:val="20"/>
          <w:szCs w:val="20"/>
        </w:rPr>
        <w:t xml:space="preserve">Every step traces to its hourly block and source IDs (S094, S095, S096, S097, S098, S099, S100);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Protocol governance checklist becomes an explicit input for Day 17 — ChargebackIQ: acceptance rehearsal (Day 17 input: Capstone evaluation set and architecture).</w:t>
      </w:r>
    </w:p>
    <w:p>
      <w:pPr>
        <w:pStyle w:val="Heading2"/>
        <w:pageBreakBefore/>
      </w:pPr>
      <w:r>
        <w:rPr>
          <w:rFonts w:ascii="Arial" w:cs="Arial" w:eastAsia="Arial" w:hAnsi="Arial"/>
        </w:rPr>
        <w:t xml:space="preserve">Day 17: ADK + Production controls – acceptance rehearsal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0.75h concept + 3.25h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Instructor emphasis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ADK + Production controls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r>
              <w:t>Deployment, Evaluation &amp; Observability | AI Validation/ Testing | Batch Backfill/Replay &amp; Stream Recovery — Idempotency, Duplicate Handling &amp; Failure Recovery</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S101, S102, S103, S104, S105, S106, S107, S108, S109</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S086, S087, S088, S089, S090, S091, S092, S093</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Capstone evaluation set and architecture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Rehearse failure injection and operator review.</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Readiness gap register</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ChargebackIQ may assemble evidence, track deadlines and draft recommendations. Accept/represent decisions, customer credits and network submissions are made by authorised dispute investigators and approvers; high-value or near-deadline disputes require approver sign-off.</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CAP-17 | Day 17 / CAP-17</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Day17_SourceLocked_5W1H_Architecture.pptx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r>
              <w:t>Runnable local source code is provided in the ZIP and mapped in the master workbook. See source path in the applied-module section below.</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ADK candidate → Eval → Guardrails → CI gate → Canary/rollback</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S101</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Production Issues — Guardrails, Agent Scaling, Infinite Looping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S102</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Productionalization Challenges &amp; Best Practices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S103</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Model Production Readiness: Latency, Cost, Reliability</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S104</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Governance: Audit Trails, Explainability, Compliance Standards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S105</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Scaling Approaches: Containerization, Serverless vs On-Prem Deployments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S106</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Guardrails in Production: Structured Outputs, Fallbacks, Circuit Breakers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S107</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Versioning, Rollback, and Feature Flags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S108</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AI Validation/ Testing  | *Unit Testing LLM Prompts &amp; Chains*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S109</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*Regression Testing for Prompt/Model Changes*</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Capstone work in this hour</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Google ADK + tuning evaluation revisit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S101, S102</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Production Issues — Guardrails, Agent Scaling, Infinite Looping</w:t>
            </w:r>
          </w:p>
          <w:p>
            <w:pPr>
              <w:spacing w:after="20"/>
            </w:pPr>
            <w:r>
              <w:rPr>
                <w:rFonts w:ascii="Arial" w:cs="Arial" w:eastAsia="Arial" w:hAnsi="Arial"/>
                <w:sz w:val="15"/>
                <w:szCs w:val="15"/>
              </w:rPr>
              <w:t xml:space="preserve">Productionalization Challenges &amp; Best Practices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S086, S087</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Failure injection plan</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Production issue patterns and guardrails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S103, S104</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Model Production Readiness: Latency, Cost, Reliability</w:t>
            </w:r>
          </w:p>
          <w:p>
            <w:pPr>
              <w:spacing w:after="20"/>
            </w:pPr>
            <w:r>
              <w:rPr>
                <w:rFonts w:ascii="Arial" w:cs="Arial" w:eastAsia="Arial" w:hAnsi="Arial"/>
                <w:sz w:val="15"/>
                <w:szCs w:val="15"/>
              </w:rPr>
              <w:t xml:space="preserve">Governance: Audit Trails, Explainability, Compliance Standards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S088, S089</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Readiness measures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Production readiness / governance / scaling</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S105, S106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Scaling Approaches: Containerization, Serverless vs On-Prem Deployments</w:t>
            </w:r>
          </w:p>
          <w:p>
            <w:pPr>
              <w:spacing w:after="20"/>
            </w:pPr>
            <w:r>
              <w:rPr>
                <w:rFonts w:ascii="Arial" w:cs="Arial" w:eastAsia="Arial" w:hAnsi="Arial"/>
                <w:sz w:val="15"/>
                <w:szCs w:val="15"/>
              </w:rPr>
              <w:t xml:space="preserve">Guardrails in Production: Structured Outputs, Fallbacks, Circuit Breakers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S090, S091</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Guardrail rehearsal</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Validation basics and release acceptance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S107, S108, S109</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Versioning, Rollback, and Feature Flags</w:t>
            </w:r>
          </w:p>
          <w:p>
            <w:pPr>
              <w:spacing w:after="20"/>
            </w:pPr>
            <w:r>
              <w:rPr>
                <w:rFonts w:ascii="Arial" w:cs="Arial" w:eastAsia="Arial" w:hAnsi="Arial"/>
                <w:sz w:val="15"/>
                <w:szCs w:val="15"/>
              </w:rPr>
              <w:t xml:space="preserve">AI Validation/ Testing | *Unit Testing LLM Prompts &amp; Chains*</w:t>
            </w:r>
          </w:p>
          <w:p>
            <w:pPr>
              <w:spacing w:after="20"/>
            </w:pPr>
            <w:r>
              <w:rPr>
                <w:rFonts w:ascii="Arial" w:cs="Arial" w:eastAsia="Arial" w:hAnsi="Arial"/>
                <w:sz w:val="15"/>
                <w:szCs w:val="15"/>
              </w:rPr>
              <w:t xml:space="preserve">*Regression Testing for Prompt/Model Changes*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S092, S093</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Gap register</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17" descr="Day 17 workflow for ChargebackIQ" title="Day 17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S101, S102</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Plan failure injection: tool outage, loop, bad evidence.</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Injected failures test whether the system degrades safely.</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Failure injection plan</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S103, S104</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Measure latency, cost, reliability; confirm audit trail.</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Acceptance requires measured readiness, not assumptions.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Readiness measures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S105, S106</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Rehearse fallbacks and circuit breakers.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Rehearsal proves fallbacks and circuit breakers actually work.</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Rehearsal results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S107, S108, S109</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Run operator review and record the readiness gap register with versioning and regression tests.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 gap register makes readiness transparent to reviewers.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Readiness gap register</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Plan failure injection: tool outage, loop, bad evidence.</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S101, S102</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Define scenarios (tool outage, loop, manipulated evidence) and expected safe behaviour.</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Injected failures test whether the system degrades safely.</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Failure injection plan</w:t>
      </w:r>
    </w:p>
    <w:p>
      <w:pPr>
        <w:spacing w:after="60" w:before="120"/>
      </w:pPr>
      <w:r>
        <w:rPr>
          <w:rFonts w:ascii="Arial" w:cs="Arial" w:eastAsia="Arial" w:hAnsi="Arial"/>
          <w:b/>
          <w:bCs/>
          <w:color w:val="17365D"/>
          <w:sz w:val="20"/>
          <w:szCs w:val="20"/>
        </w:rPr>
        <w:t xml:space="preserve">Step 2 – Measure latency, cost, reliability; confirm audit trail.</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S103, S104</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Record latency, cost per case and error rate; confirm audit records exist.</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Acceptance requires measured readiness, not assumptions.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Readiness measures</w:t>
      </w:r>
    </w:p>
    <w:p>
      <w:pPr>
        <w:spacing w:after="60" w:before="120"/>
      </w:pPr>
      <w:r>
        <w:rPr>
          <w:rFonts w:ascii="Arial" w:cs="Arial" w:eastAsia="Arial" w:hAnsi="Arial"/>
          <w:b/>
          <w:bCs/>
          <w:color w:val="17365D"/>
          <w:sz w:val="20"/>
          <w:szCs w:val="20"/>
        </w:rPr>
        <w:t xml:space="preserve">Step 3 – Rehearse fallbacks and circuit breakers.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S105, S106</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Trigger each fallback and circuit breaker deliberately (tool timeout, invalid output, repeated failure); record expected vs observed behaviour and pass/fail.</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Rehearsal proves fallbacks and circuit breakers actually work.</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Rehearsal results</w:t>
      </w:r>
    </w:p>
    <w:p>
      <w:pPr>
        <w:spacing w:after="60" w:before="120"/>
      </w:pPr>
      <w:r>
        <w:rPr>
          <w:rFonts w:ascii="Arial" w:cs="Arial" w:eastAsia="Arial" w:hAnsi="Arial"/>
          <w:b/>
          <w:bCs/>
          <w:color w:val="17365D"/>
          <w:sz w:val="20"/>
          <w:szCs w:val="20"/>
        </w:rPr>
        <w:t xml:space="preserve">Step 4 – Run operator review and record the readiness gap register with versioning and regression tests.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S107, S108, S109</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Run operator review; record gaps with severity, owner and due date; confirm versioning and regression tests exist.</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A gap register makes readiness transparent to reviewers.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Readiness gap register</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Capstone evaluation set and architecture</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Failure injection plan → Readiness measures → Guardrail rehearsal → Gap register</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Readiness gap register</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Readiness gap register.</w:t>
      </w:r>
    </w:p>
    <w:p>
      <w:pPr>
        <w:pStyle w:val="ListParagraph"/>
        <w:numPr>
          <w:ilvl w:val="0"/>
          <w:numId w:val="2"/>
        </w:numPr>
        <w:spacing w:after="60"/>
      </w:pPr>
      <w:r>
        <w:rPr>
          <w:rFonts w:ascii="Arial" w:cs="Arial" w:eastAsia="Arial" w:hAnsi="Arial"/>
          <w:sz w:val="20"/>
          <w:szCs w:val="20"/>
        </w:rPr>
        <w:t xml:space="preserve">Every injected failure has an observed outcome.</w:t>
      </w:r>
    </w:p>
    <w:p>
      <w:pPr>
        <w:pStyle w:val="ListParagraph"/>
        <w:numPr>
          <w:ilvl w:val="0"/>
          <w:numId w:val="2"/>
        </w:numPr>
        <w:spacing w:after="60"/>
      </w:pPr>
      <w:r>
        <w:rPr>
          <w:rFonts w:ascii="Arial" w:cs="Arial" w:eastAsia="Arial" w:hAnsi="Arial"/>
          <w:sz w:val="20"/>
          <w:szCs w:val="20"/>
        </w:rPr>
        <w:t xml:space="preserve">Gaps have owners.</w:t>
      </w:r>
    </w:p>
    <w:p>
      <w:pPr>
        <w:pStyle w:val="ListParagraph"/>
        <w:numPr>
          <w:ilvl w:val="0"/>
          <w:numId w:val="2"/>
        </w:numPr>
        <w:spacing w:after="60"/>
      </w:pPr>
      <w:r>
        <w:rPr>
          <w:rFonts w:ascii="Arial" w:cs="Arial" w:eastAsia="Arial" w:hAnsi="Arial"/>
          <w:sz w:val="20"/>
          <w:szCs w:val="20"/>
        </w:rPr>
        <w:t xml:space="preserve">Every step traces to its hourly block and source IDs (S101, S102, S103, S104, S105, S106, S107, S108, S109);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Readiness gap register becomes an explicit input for Day 18 — ChargebackIQ: capstone submission gate (Day 18 input: All prior outputs plus final demo evidence).</w:t>
      </w:r>
    </w:p>
    <w:p>
      <w:pPr>
        <w:pStyle w:val="Heading2"/>
        <w:pageBreakBefore/>
      </w:pPr>
      <w:r>
        <w:rPr>
          <w:rFonts w:ascii="Arial" w:cs="Arial" w:eastAsia="Arial" w:hAnsi="Arial"/>
        </w:rPr>
        <w:t xml:space="preserve">Day 18: Testing + Gemini deployment – capstone submission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0.75h concept + 3.25h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Instructor emphasis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Testing + Gemini deployment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r>
              <w:t>AI Validation/ Testing | Gemini Enterprise Deployment | Batch/Stream Production Readiness — Cutover, Rollback, Governance &amp; Release Validation</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S110, S111, S112, S113, S114, S115</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S094, S095, S096, S097, S098, S099, S100, S101, S102, S103, S104, S105, S106, S107</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All prior outputs plus final demo evidence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Review solution architecture, policies, QA results and business-outcome indicators.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Capstone acceptance matrix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ChargebackIQ may assemble evidence, track deadlines and draft recommendations. Accept/represent decisions, customer credits and network submissions are made by authorised dispute investigators and approvers; high-value or near-deadline disputes require approver sign-off.</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CAP-18 | Day 18 / CAP-18</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Day18_SourceLocked_5W1H_Architecture.pptx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r>
              <w:t>Runnable local source code is provided in the ZIP and mapped in the master workbook. See source path in the applied-module section below.</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Code → CI tests → Shadow → Deploy gate → Observability → Governance</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S110</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*Red-Teaming &amp; Adversarial Test Suites*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S111</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*Golden Dataset Creation for Agent/RAG Validation*</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S112</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*A/B Testing &amp; Shadow Deployment for Model Changes*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S113</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Gemini Enterprise Deployment  | *Prepare and Deliver Gemini Enterprise Deployments*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S114</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*Govern, Secure, and Scale the Agent Ecosystem*</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S115</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*Drive Impact with Agents using Gemini Enterprise*</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Capstone work in this hour</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Red-teaming and golden datasets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S110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*Red-Teaming &amp; Adversarial Test Suites*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S094, S095, S096</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Red-team</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Shadow release and Gemini deployment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S111, S112</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*Golden Dataset Creation for Agent/RAG Validation*</w:t>
            </w:r>
          </w:p>
          <w:p>
            <w:pPr>
              <w:spacing w:after="20"/>
            </w:pPr>
            <w:r>
              <w:rPr>
                <w:rFonts w:ascii="Arial" w:cs="Arial" w:eastAsia="Arial" w:hAnsi="Arial"/>
                <w:sz w:val="15"/>
                <w:szCs w:val="15"/>
              </w:rPr>
              <w:t xml:space="preserve">*A/B Testing &amp; Shadow Deployment for Model Changes*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S097, S098, S099, S100</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Golden + shadow</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Production telemetry and failure lab (revisit)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S113</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Gemini Enterprise Deployment | *Prepare and Deliver Gemini Enterprise Deployments*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S101, S102, S103</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Deployment plan</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Integrated evidence review, readiness and capstone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S114, S115</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*Govern, Secure, and Scale the Agent Ecosystem*</w:t>
            </w:r>
          </w:p>
          <w:p>
            <w:pPr>
              <w:spacing w:after="20"/>
            </w:pPr>
            <w:r>
              <w:rPr>
                <w:rFonts w:ascii="Arial" w:cs="Arial" w:eastAsia="Arial" w:hAnsi="Arial"/>
                <w:sz w:val="15"/>
                <w:szCs w:val="15"/>
              </w:rPr>
              <w:t xml:space="preserve">*Drive Impact with Agents using Gemini Enterprise*</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S104, S105, S106, S107</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Acceptance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18" descr="Day 18 workflow for ChargebackIQ" title="Day 18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S110</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Run red-team suite on the capstone.</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Final red-teaming validates security before submission.</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Red-team results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S111, S112</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Validate on golden set and define shadow deployment.</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Golden-set and shadow results show quality without customer impact.</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Validation results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S113</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Prepare Gemini Enterprise deployment plan.</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The deployment plan is the path to production.</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Deployment plan</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S114, S115</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Review architecture, policies, QA results and business-outcome indicators.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The acceptance matrix is the capstone submission gate.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Capstone acceptance matrix</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Run red-team suite on the capstone.</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S110</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Run the adversarial suite (injection in merchant documents, fake approvals, data exfiltration, tool misuse); record findings, severity, fixes and retest results.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Final red-teaming validates security before submission.</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Red-team results</w:t>
      </w:r>
    </w:p>
    <w:p>
      <w:pPr>
        <w:spacing w:after="60" w:before="120"/>
      </w:pPr>
      <w:r>
        <w:rPr>
          <w:rFonts w:ascii="Arial" w:cs="Arial" w:eastAsia="Arial" w:hAnsi="Arial"/>
          <w:b/>
          <w:bCs/>
          <w:color w:val="17365D"/>
          <w:sz w:val="20"/>
          <w:szCs w:val="20"/>
        </w:rPr>
        <w:t xml:space="preserve">Step 2 – Validate on golden set and define shadow deployment.</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S111, S112</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Score on golden set; define shadow deployment with promotion and abort criteria.</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Golden-set and shadow results show quality without customer impact.</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Validation results</w:t>
      </w:r>
    </w:p>
    <w:p>
      <w:pPr>
        <w:spacing w:after="60" w:before="120"/>
      </w:pPr>
      <w:r>
        <w:rPr>
          <w:rFonts w:ascii="Arial" w:cs="Arial" w:eastAsia="Arial" w:hAnsi="Arial"/>
          <w:b/>
          <w:bCs/>
          <w:color w:val="17365D"/>
          <w:sz w:val="20"/>
          <w:szCs w:val="20"/>
        </w:rPr>
        <w:t xml:space="preserve">Step 3 – Prepare Gemini Enterprise deployment plan.</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S113</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Record environments, identities, data connections and approvals for Gemini Enterprise deployment.</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The deployment plan is the path to production.</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Deployment plan</w:t>
      </w:r>
    </w:p>
    <w:p>
      <w:pPr>
        <w:spacing w:after="60" w:before="120"/>
      </w:pPr>
      <w:r>
        <w:rPr>
          <w:rFonts w:ascii="Arial" w:cs="Arial" w:eastAsia="Arial" w:hAnsi="Arial"/>
          <w:b/>
          <w:bCs/>
          <w:color w:val="17365D"/>
          <w:sz w:val="20"/>
          <w:szCs w:val="20"/>
        </w:rPr>
        <w:t xml:space="preserve">Step 4 – Review architecture, policies, QA results and business-outcome indicators.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S114, S115</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Fill the acceptance matrix: criterion, evidence link, result, reviewer; include business-outcome indicators (time to respond, win rate, missed deadlines).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The acceptance matrix is the capstone submission gate.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Capstone acceptance matrix</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All prior outputs plus final demo evidence</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Red-team → Golden + shadow → Deployment plan → Acceptance</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Capstone acceptance matrix</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Capstone acceptance matrix.</w:t>
      </w:r>
    </w:p>
    <w:p>
      <w:pPr>
        <w:pStyle w:val="ListParagraph"/>
        <w:numPr>
          <w:ilvl w:val="0"/>
          <w:numId w:val="2"/>
        </w:numPr>
        <w:spacing w:after="60"/>
      </w:pPr>
      <w:r>
        <w:rPr>
          <w:rFonts w:ascii="Arial" w:cs="Arial" w:eastAsia="Arial" w:hAnsi="Arial"/>
          <w:sz w:val="20"/>
          <w:szCs w:val="20"/>
        </w:rPr>
        <w:t xml:space="preserve">Each acceptance criterion links to evidence.</w:t>
      </w:r>
    </w:p>
    <w:p>
      <w:pPr>
        <w:pStyle w:val="ListParagraph"/>
        <w:numPr>
          <w:ilvl w:val="0"/>
          <w:numId w:val="2"/>
        </w:numPr>
        <w:spacing w:after="60"/>
      </w:pPr>
      <w:r>
        <w:rPr>
          <w:rFonts w:ascii="Arial" w:cs="Arial" w:eastAsia="Arial" w:hAnsi="Arial"/>
          <w:sz w:val="20"/>
          <w:szCs w:val="20"/>
        </w:rPr>
        <w:t xml:space="preserve">Business-outcome indicators are measured.</w:t>
      </w:r>
    </w:p>
    <w:p>
      <w:pPr>
        <w:pStyle w:val="ListParagraph"/>
        <w:numPr>
          <w:ilvl w:val="0"/>
          <w:numId w:val="2"/>
        </w:numPr>
        <w:spacing w:after="60"/>
      </w:pPr>
      <w:r>
        <w:rPr>
          <w:rFonts w:ascii="Arial" w:cs="Arial" w:eastAsia="Arial" w:hAnsi="Arial"/>
          <w:sz w:val="20"/>
          <w:szCs w:val="20"/>
        </w:rPr>
        <w:t xml:space="preserve">Every step traces to its hourly block and source IDs (S110, S111, S112, S113, S114, S115);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Capstone acceptance matrix is the final evidence for the ChargebackIQ capstone submission gate.</w:t>
      </w:r>
    </w:p>
    <w:p>
      <w:pPr>
        <w:pStyle w:val="Heading1"/>
        <w:pageBreakBefore/>
      </w:pPr>
      <w:r>
        <w:rPr>
          <w:rFonts w:ascii="Arial" w:cs="Arial" w:eastAsia="Arial" w:hAnsi="Arial"/>
        </w:rPr>
        <w:t xml:space="preserve">5. Completion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3700"/>
        <w:gridCol w:w="820"/>
        <w:gridCol w:w="900"/>
        <w:gridCol w:w="760"/>
        <w:gridCol w:w="700"/>
        <w:gridCol w:w="1080"/>
      </w:tblGrid>
      <w:tr>
        <w:trPr>
          <w:tblHeader/>
        </w:trPr>
        <w:tc>
          <w:tcPr>
            <w:tcW w:type="dxa" w:w="5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Day</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Map ID</w:t>
            </w:r>
          </w:p>
        </w:tc>
        <w:tc>
          <w:tcPr>
            <w:tcW w:type="dxa" w:w="37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Required output</w:t>
            </w:r>
          </w:p>
        </w:tc>
        <w:tc>
          <w:tcPr>
            <w:tcW w:type="dxa" w:w="82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Hourly</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Diagram</w:t>
            </w:r>
          </w:p>
        </w:tc>
        <w:tc>
          <w:tcPr>
            <w:tcW w:type="dxa" w:w="7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Steps</w:t>
            </w:r>
          </w:p>
        </w:tc>
        <w:tc>
          <w:tcPr>
            <w:tcW w:type="dxa" w:w="7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w:t>
            </w:r>
          </w:p>
        </w:tc>
        <w:tc>
          <w:tcPr>
            <w:tcW w:type="dxa" w:w="108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Evidence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CAP-01</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Approved scope and initial backlog</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CAP-02</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Human-versus-AI responsibility table</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CAP-03</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Security acceptance checklist</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CAP-04</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Model decision record</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CAP-05</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Data-processing design note</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6</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CAP-06</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Service responsibility chart</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7</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CAP-07</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Policy index specification</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8</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CAP-08</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RAG quality-gate specification</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9</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CAP-09</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Agent governance map</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10</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CAP-10</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Escalation policy</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11</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CAP-11</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Control matrix</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CAP-12</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Agent interaction blueprint</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13</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CAP-13</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A2A message contract draft</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14</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CAP-14</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Review-ready architecture</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15</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CAP-15</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Capstone evaluation plan</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16</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CAP-16</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Protocol governance checklist</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17</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CAP-17</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Readiness gap register</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18</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CAP-18</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Capstone acceptance matrix</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bl>
    <w:p>
      <w:pPr>
        <w:pStyle w:val="Heading1"/>
        <w:pageBreakBefore/>
      </w:pPr>
      <w:r>
        <w:rPr>
          <w:rFonts w:ascii="Arial" w:cs="Arial" w:eastAsia="Arial" w:hAnsi="Arial"/>
        </w:rPr>
        <w:t xml:space="preserve">Appendix A. Source ID Traceability</w:t>
      </w:r>
    </w:p>
    <w:p>
      <w:pPr>
        <w:spacing w:after="100"/>
        <w:rPr>
          <w:sz w:val="20"/>
          <w:szCs w:val="20"/>
        </w:rPr>
      </w:pPr>
      <w:r>
        <w:rPr>
          <w:rFonts w:ascii="Arial" w:cs="Arial" w:eastAsia="Arial" w:hAnsi="Arial"/>
          <w:sz w:val="20"/>
          <w:szCs w:val="20"/>
        </w:rPr>
        <w:t xml:space="preserve">Each of the 114 source lines has exactly one primary day. The mapping below is copied from the workbook Coverage sheet and links each source ID to the day and mapping ID in this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0"/>
        <w:gridCol w:w="1100"/>
        <w:gridCol w:w="6460"/>
      </w:tblGrid>
      <w:tr>
        <w:trPr>
          <w:tblHeader/>
        </w:trPr>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w:t>
            </w:r>
          </w:p>
        </w:tc>
        <w:tc>
          <w:tcPr>
            <w:tcW w:type="dxa" w:w="7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Day</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Map ID</w:t>
            </w:r>
          </w:p>
        </w:tc>
        <w:tc>
          <w:tcPr>
            <w:tcW w:type="dxa" w:w="64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topic</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S001</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CAP-01</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Python for AI  | Python Basics &amp; Syntax</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S003</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CAP-01</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Variables, Operators, Conditional Statements, Loops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S004</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CAP-01</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Data Structures: Lists, Tuples, Sets, Dictionaries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S005</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CAP-01</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*Functions, FAST API, File Handling &amp; Error Handling*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S006</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CAP-02</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Gen AI &amp; Challenges  | AI vs ML vs GenAI</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S007</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CAP-02</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Core Principles of GenAI</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S008</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CAP-02</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Types of GenAI Models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S009</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CAP-02</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How Generative Models Create Data; Key Challenges: Bias, Hallucination, Stochasticity</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CAP-02</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Business and Technical Challenges in Deployment</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S011</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CAP-03</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Guardrail Solutions: Bias Mitigation (balanced datasets, fairness metrics, post-processing)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S012</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CAP-03</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Security Approaches (prompt injection defense, data anonymization, differential privacy)</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S013</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CAP-03</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Guardrail Techniques (RLHF, Constitutional AI, red-teaming, moderation APIs)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S014</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CAP-03</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Prompt Engineering  | Prompt Anatomy &amp; Context Types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S015</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CAP-03</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Zero-shot, One-shot, Few-shot Prompting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S016</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CAP-03</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Chain-of-Thought Prompting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S017</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Prompt Interventions &amp; Prompt Tuning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S018</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Adversarial Prompting &amp; Prompt Security</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S019</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Prompts for Agents &amp; ReAct-style Prompting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*Structured Output Prompting (JSON mode, schemas, function-call prompts)*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S021</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LLM/LRM/LMM  | LLMs vs LRMs vs LMMs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S022</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Transformers Architecture, Scaling Laws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S023</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CAP-05</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Tokenization &amp; Embedding Techniques (Byte Pair Encoding)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S024</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CAP-05</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Reasoning Tokens &amp; Inference Strategies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S025</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CAP-05</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Max New Tokens, Sampling, Temperature, Top_K, Top_P</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S026</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CAP-05</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LMMs: DALL-E, Imagen, Diffusion Models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S027</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CAP-05</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Agentic Workflows – LangChain Essentials  | Introduction to LangChain Architecture</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S028</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CAP-06</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Model I/O &amp; Integration</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S029</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CAP-06</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Chains, Prompt Templates, Sequential Flows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CAP-06</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Memory &amp; Context Handling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S031</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CAP-06</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Tool/Agent Integration</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S032</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CAP-06</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Hands-on Workflow Creation</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S033</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CAP-06</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Retrieval-Augmented Generation (RAG)  | Introduction to RAG &amp; Its Importance</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S034</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Vector Databases for RAG (FAISS, Chroma)</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S035</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Chunking Strategies in RAG Applications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S036</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Semantic Search vs. Exact Matching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S037</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RAG for Domain-Specific Applications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S038</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Optimizing RAG for Large-Scale AI Models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S039</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Real-Time Information Retrieval Using RAG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CAP-08</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Challenges in RAG Implementation</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S041</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CAP-08</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Hybrid Search &amp; Multi-Query RAG Systems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S042</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CAP-08</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Multi-modal RAG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S043</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CAP-08</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Agentic RAG: using an agent to determine how to retrieve the most relevant information before answering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S044</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CAP-08</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*RAG Evaluation (faithfulness, retrieval precision/recall)*</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S045</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CAP-08</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Guidelines and Best Practices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S046</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9</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CAP-09</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Demystifying Agentic AI  | Understanding Agentic vs. Non-Agentic AI Systems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S047</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9</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CAP-09</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Overview of Autonomous Agents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S048</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9</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CAP-09</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Agents vs. Models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S049</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9</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CAP-09</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What is an LLM Agent — Role of LLMs in Autonomous Systems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9</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CAP-09</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When (and When Not) to Use Agents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S051</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9</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CAP-09</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Questions to Ask Before Considering an AI Agent</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S052</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10</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CAP-10</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ReAct Framework — Concept of Thought, Action, Input and Observation</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S053</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10</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CAP-10</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Language-Action Agents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S054</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10</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CAP-10</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Agent Runtime — Orchestration Layer</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S055</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10</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CAP-10</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Tools — Function Calling / Extensions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S056</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10</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CAP-10</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Context, Harness &amp; Loop Engineering  | *Context Engineering vs Prompt Engineering — what's the difference*</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S057</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10</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CAP-10</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*Context Window Management (system/developer/user context layering)*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S058</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10</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CAP-10</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*Long-context Windows vs RAG — when to use which*</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S059</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CAP-11</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*Context Compaction &amp; Summarization Strategies*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CAP-11</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*What is an Agent Harness — tools, memory, guardrails, execution environment*</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S061</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CAP-11</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*Building a Custom Harness vs Using a Framework (LangChain/LangGraph)*</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S062</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CAP-11</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*Sandboxing &amp; Permission Boundaries in Harnesses*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S063</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CAP-11</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 Agent Loop — Perceive → Plan → Act → Observe*</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S064</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CAP-11</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*ReAct Loop vs Plan-and-Execute Loop*</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S065</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CAP-11</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*Loop Termination Conditions &amp; Infinite-Loop Prevention*</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S066</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CAP-11</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*Human-in-the-Loop Checkpoints Inside the Loop*</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S067</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CAP-12</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LangGraph/CrewAI/AutoGen – Advanced AI Agents  | Introduction to LangGraph, CrewAI, and AutoGen</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S068</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CAP-12</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Key Components of LangGraph (Nodes, Edges, States)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S069</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CAP-12</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LangGraph/AutoGen for Autonomous LLM Applications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CAP-12</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Real-Time Data Processing with LangGraph</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S071</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CAP-12</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Building Stateful AI Systems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S072</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CAP-13</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Advanced Orchestration Techniques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S073</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CAP-13</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Building Multi-Actor Applications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S074</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CAP-13</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Cycles and Branching; Memory/Persistence; Human in the Loop (HITL); Streaming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S075</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CAP-13</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Guidelines and Best Practices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S076</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CAP-13</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Architecting Agentic Systems – MCP &amp; A2A Protocols  | Principles of Agentic AI Application Design (Architecture level)</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S077</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CAP-13</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MCP (Model Context Protocol) — MCP Server / Host / Client</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S078</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CAP-13</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A2A (Agent-to-Agent Protocol)</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S079</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Multi-Agent Coordination Strategies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Architecting AI Workflows with Autonomous Agents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S081</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Designing Human-in-the-Loop Agentic Systems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S082</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Adaptive Agents for Dynamic Environments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S083</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Evaluating and Deploying Agents — LLMs as Judge</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S084</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Ethical &amp; Regulatory Considerations in AI Agents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S085</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Guidelines and Best Practices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S086</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Gemini Enterprise Agent Development  | *Use Agents to Build Agents*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S087</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CAP-15</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*Build and Deploy Agents with Agent Development Kit (ADK)*</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S088</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CAP-15</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*Agent Evaluation and Hill Climbing*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S089</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CAP-15</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LLM Fine-Tuning &amp; Evaluation  | Instruction vs Task-Specific Fine-Tuning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CAP-15</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Parameter Efficient Tuning (LoRA, QLoRA, FLAN)</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S091</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CAP-15</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Avoiding Catastrophic Forgetting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S092</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CAP-15</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Evaluation Metrics: ROUGE, BLEU, MMLU, BIG-Bench, GLUE, HELM</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S093</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CAP-15</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Fine-tuning for Function Calling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S094</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CAP-16</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Deployment, Evaluation &amp; Observability  | Observability: Understanding System Insights — Logs / Metrics / Traces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S095</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CAP-16</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Observability: Issue Detection; Debugging; System Optimization; Security/Compliance</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S096</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CAP-16</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Integration Best Practices with CI/CD and Developer Workflows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S097</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CAP-16</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Evaluation — System Metrics, Task Completion, Quality Control, Tool Interaction Metrics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S098</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CAP-16</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Evaluation — LLM/Agents as Judge</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S099</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CAP-16</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Development Issues — Poorly Defined Prompts, etc.</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CAP-16</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LLM Issues — High Cost of Running; Planning/Reasoning/Tool Calling Failures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S101</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Production Issues — Guardrails, Agent Scaling, Infinite Looping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S102</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Productionalization Challenges &amp; Best Practices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S103</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Model Production Readiness: Latency, Cost, Reliability</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S104</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Governance: Audit Trails, Explainability, Compliance Standards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S105</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Scaling Approaches: Containerization, Serverless vs On-Prem Deployments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S106</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Guardrails in Production: Structured Outputs, Fallbacks, Circuit Breakers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S107</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Versioning, Rollback, and Feature Flags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S108</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AI Validation/ Testing  | *Unit Testing LLM Prompts &amp; Chains*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S109</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*Regression Testing for Prompt/Model Changes*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S110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CAP-18</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*Red-Teaming &amp; Adversarial Test Suites*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S111</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CAP-18</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*Golden Dataset Creation for Agent/RAG Validation*</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S112</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CAP-18</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*A/B Testing &amp; Shadow Deployment for Model Changes*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S113</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CAP-18</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Gemini Enterprise Deployment  | *Prepare and Deliver Gemini Enterprise Deployments*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S114</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CAP-18</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*Govern, Secure, and Scale the Agent Ecosystem*</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S115</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CAP-18</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*Drive Impact with Agents using Gemini Enterprise*</w:t>
            </w:r>
          </w:p>
        </w:tc>
      </w:tr>
    </w:tbl>
    <w:p>
      <w:r>
        <w:br w:type="page"/>
      </w:r>
    </w:p>
    <w:p>
      <w:pPr>
        <w:spacing w:before="160" w:after="80"/>
      </w:pPr>
      <w:r>
        <w:rPr>
          <w:b/>
          <w:color w:val="1F4E79"/>
          <w:sz w:val="32"/>
        </w:rPr>
        <w:t>Applied Streaming &amp; Batching Module — Detailed Implementation, Reasoning and Evidence</w:t>
      </w:r>
    </w:p>
    <w:p>
      <w:r>
        <w:rPr>
          <w:b/>
        </w:rPr>
        <w:t xml:space="preserve">Curriculum change note: </w:t>
      </w:r>
      <w:r>
        <w:t>The original source-locked modules remain intact. The following applied modules are explicit additions requested for implementation depth; they do not replace the original source IDs.</w:t>
      </w:r>
    </w:p>
    <w:p>
      <w:r>
        <w:rPr>
          <w:b/>
        </w:rPr>
        <w:t xml:space="preserve">How to use this section: </w:t>
      </w:r>
      <w:r>
        <w:t>For Days 13–18, follow each step in order. Do not mark a step complete only because code runs; retain the expected output and validation evidence. The same module names are present in the updated master Excel TOC.</w:t>
      </w:r>
    </w:p>
    <w:tbl>
      <w:tblPr>
        <w:tblW w:type="auto" w:w="0"/>
        <w:jc w:val="center"/>
        <w:tblLook w:firstColumn="1" w:firstRow="1" w:lastColumn="0" w:lastRow="0" w:noHBand="0" w:noVBand="1" w:val="04A0"/>
      </w:tblPr>
      <w:tblGrid>
        <w:gridCol w:w="2340"/>
        <w:gridCol w:w="2340"/>
        <w:gridCol w:w="2340"/>
        <w:gridCol w:w="2340"/>
      </w:tblGrid>
      <w:tr>
        <w:tc>
          <w:tcPr>
            <w:tcW w:type="dxa" w:w="2340"/>
            <w:vAlign w:val="top"/>
            <w:shd w:fill="17365D"/>
          </w:tcPr>
          <w:p>
            <w:r/>
            <w:r>
              <w:rPr>
                <w:b/>
                <w:color w:val="FFFFFF"/>
                <w:sz w:val="18"/>
              </w:rPr>
              <w:t>Day</w:t>
            </w:r>
          </w:p>
        </w:tc>
        <w:tc>
          <w:tcPr>
            <w:tcW w:type="dxa" w:w="2340"/>
            <w:vAlign w:val="top"/>
            <w:shd w:fill="17365D"/>
          </w:tcPr>
          <w:p>
            <w:r/>
            <w:r>
              <w:rPr>
                <w:b/>
                <w:color w:val="FFFFFF"/>
                <w:sz w:val="18"/>
              </w:rPr>
              <w:t>Added applied module</w:t>
            </w:r>
          </w:p>
        </w:tc>
        <w:tc>
          <w:tcPr>
            <w:tcW w:type="dxa" w:w="2340"/>
            <w:vAlign w:val="top"/>
            <w:shd w:fill="17365D"/>
          </w:tcPr>
          <w:p>
            <w:r/>
            <w:r>
              <w:rPr>
                <w:b/>
                <w:color w:val="FFFFFF"/>
                <w:sz w:val="18"/>
              </w:rPr>
              <w:t>Learning purpose</w:t>
            </w:r>
          </w:p>
        </w:tc>
        <w:tc>
          <w:tcPr>
            <w:tcW w:type="dxa" w:w="2340"/>
            <w:vAlign w:val="top"/>
            <w:shd w:fill="17365D"/>
          </w:tcPr>
          <w:p>
            <w:r/>
            <w:r>
              <w:rPr>
                <w:b/>
                <w:color w:val="FFFFFF"/>
                <w:sz w:val="18"/>
              </w:rPr>
              <w:t>Primary evidence</w:t>
            </w:r>
          </w:p>
        </w:tc>
      </w:tr>
      <w:tr>
        <w:tc>
          <w:tcPr>
            <w:tcW w:type="dxa" w:w="2340"/>
            <w:vAlign w:val="top"/>
          </w:tcPr>
          <w:p>
            <w:r/>
            <w:r>
              <w:rPr>
                <w:b w:val="0"/>
                <w:sz w:val="16"/>
              </w:rPr>
              <w:t>13</w:t>
            </w:r>
          </w:p>
        </w:tc>
        <w:tc>
          <w:tcPr>
            <w:tcW w:type="dxa" w:w="2340"/>
            <w:vAlign w:val="top"/>
          </w:tcPr>
          <w:p>
            <w:r/>
            <w:r>
              <w:rPr>
                <w:b w:val="0"/>
                <w:sz w:val="16"/>
              </w:rPr>
              <w:t>Applied Data Processing — Batch Fundamentals &amp; Streaming Fundamentals</w:t>
            </w:r>
          </w:p>
        </w:tc>
        <w:tc>
          <w:tcPr>
            <w:tcW w:type="dxa" w:w="2340"/>
            <w:vAlign w:val="top"/>
          </w:tcPr>
          <w:p>
            <w:r/>
            <w:r>
              <w:rPr>
                <w:b w:val="0"/>
                <w:sz w:val="16"/>
              </w:rPr>
              <w:t>Establish correct batch and stream mental models and a deterministic local baseline.</w:t>
            </w:r>
          </w:p>
        </w:tc>
        <w:tc>
          <w:tcPr>
            <w:tcW w:type="dxa" w:w="2340"/>
            <w:vAlign w:val="top"/>
          </w:tcPr>
          <w:p>
            <w:r/>
            <w:r>
              <w:rPr>
                <w:b w:val="0"/>
                <w:sz w:val="16"/>
              </w:rPr>
              <w:t>Batch controls + event trace + reconciliation</w:t>
            </w:r>
          </w:p>
        </w:tc>
      </w:tr>
      <w:tr>
        <w:tc>
          <w:tcPr>
            <w:tcW w:type="dxa" w:w="2340"/>
            <w:vAlign w:val="top"/>
          </w:tcPr>
          <w:p>
            <w:r/>
            <w:r>
              <w:rPr>
                <w:b w:val="0"/>
                <w:sz w:val="16"/>
              </w:rPr>
              <w:t>14</w:t>
            </w:r>
          </w:p>
        </w:tc>
        <w:tc>
          <w:tcPr>
            <w:tcW w:type="dxa" w:w="2340"/>
            <w:vAlign w:val="top"/>
          </w:tcPr>
          <w:p>
            <w:r/>
            <w:r>
              <w:rPr>
                <w:b w:val="0"/>
                <w:sz w:val="16"/>
              </w:rPr>
              <w:t>Cloud Batch &amp; Event-Streaming Architecture — Pub/Sub, Dataflow/Apache Beam &amp; BigQuery</w:t>
            </w:r>
          </w:p>
        </w:tc>
        <w:tc>
          <w:tcPr>
            <w:tcW w:type="dxa" w:w="2340"/>
            <w:vAlign w:val="top"/>
          </w:tcPr>
          <w:p>
            <w:r/>
            <w:r>
              <w:rPr>
                <w:b w:val="0"/>
                <w:sz w:val="16"/>
              </w:rPr>
              <w:t>Map the same business contracts to cloud-scale batch and event streaming.</w:t>
            </w:r>
          </w:p>
        </w:tc>
        <w:tc>
          <w:tcPr>
            <w:tcW w:type="dxa" w:w="2340"/>
            <w:vAlign w:val="top"/>
          </w:tcPr>
          <w:p>
            <w:r/>
            <w:r>
              <w:rPr>
                <w:b w:val="0"/>
                <w:sz w:val="16"/>
              </w:rPr>
              <w:t>Architecture + contracts + IAM/failure design</w:t>
            </w:r>
          </w:p>
        </w:tc>
      </w:tr>
      <w:tr>
        <w:tc>
          <w:tcPr>
            <w:tcW w:type="dxa" w:w="2340"/>
            <w:vAlign w:val="top"/>
          </w:tcPr>
          <w:p>
            <w:r/>
            <w:r>
              <w:rPr>
                <w:b w:val="0"/>
                <w:sz w:val="16"/>
              </w:rPr>
              <w:t>15</w:t>
            </w:r>
          </w:p>
        </w:tc>
        <w:tc>
          <w:tcPr>
            <w:tcW w:type="dxa" w:w="2340"/>
            <w:vAlign w:val="top"/>
          </w:tcPr>
          <w:p>
            <w:r/>
            <w:r>
              <w:rPr>
                <w:b w:val="0"/>
                <w:sz w:val="16"/>
              </w:rPr>
              <w:t>Batch Validation &amp; Publisher Batching — Event Time, Windows, Watermarks &amp; Late Data</w:t>
            </w:r>
          </w:p>
        </w:tc>
        <w:tc>
          <w:tcPr>
            <w:tcW w:type="dxa" w:w="2340"/>
            <w:vAlign w:val="top"/>
          </w:tcPr>
          <w:p>
            <w:r/>
            <w:r>
              <w:rPr>
                <w:b w:val="0"/>
                <w:sz w:val="16"/>
              </w:rPr>
              <w:t>Make behavior testable with golden data, publisher batching and event-time semantics.</w:t>
            </w:r>
          </w:p>
        </w:tc>
        <w:tc>
          <w:tcPr>
            <w:tcW w:type="dxa" w:w="2340"/>
            <w:vAlign w:val="top"/>
          </w:tcPr>
          <w:p>
            <w:r/>
            <w:r>
              <w:rPr>
                <w:b w:val="0"/>
                <w:sz w:val="16"/>
              </w:rPr>
              <w:t>Golden tests + timing/windowing evidence</w:t>
            </w:r>
          </w:p>
        </w:tc>
      </w:tr>
      <w:tr>
        <w:tc>
          <w:tcPr>
            <w:tcW w:type="dxa" w:w="2340"/>
            <w:vAlign w:val="top"/>
          </w:tcPr>
          <w:p>
            <w:r/>
            <w:r>
              <w:rPr>
                <w:b w:val="0"/>
                <w:sz w:val="16"/>
              </w:rPr>
              <w:t>16</w:t>
            </w:r>
          </w:p>
        </w:tc>
        <w:tc>
          <w:tcPr>
            <w:tcW w:type="dxa" w:w="2340"/>
            <w:vAlign w:val="top"/>
          </w:tcPr>
          <w:p>
            <w:r/>
            <w:r>
              <w:rPr>
                <w:b w:val="0"/>
                <w:sz w:val="16"/>
              </w:rPr>
              <w:t>Streaming Observability &amp; Delivery Semantics — Correlation, Acknowledgement &amp; Durable Processing</w:t>
            </w:r>
          </w:p>
        </w:tc>
        <w:tc>
          <w:tcPr>
            <w:tcW w:type="dxa" w:w="2340"/>
            <w:vAlign w:val="top"/>
          </w:tcPr>
          <w:p>
            <w:r/>
            <w:r>
              <w:rPr>
                <w:b w:val="0"/>
                <w:sz w:val="16"/>
              </w:rPr>
              <w:t>Make the pipeline observable and define safe delivery/acknowledgement semantics.</w:t>
            </w:r>
          </w:p>
        </w:tc>
        <w:tc>
          <w:tcPr>
            <w:tcW w:type="dxa" w:w="2340"/>
            <w:vAlign w:val="top"/>
          </w:tcPr>
          <w:p>
            <w:r/>
            <w:r>
              <w:rPr>
                <w:b w:val="0"/>
                <w:sz w:val="16"/>
              </w:rPr>
              <w:t>Logs/metrics/traces + ack evidence</w:t>
            </w:r>
          </w:p>
        </w:tc>
      </w:tr>
      <w:tr>
        <w:tc>
          <w:tcPr>
            <w:tcW w:type="dxa" w:w="2340"/>
            <w:vAlign w:val="top"/>
          </w:tcPr>
          <w:p>
            <w:r/>
            <w:r>
              <w:rPr>
                <w:b w:val="0"/>
                <w:sz w:val="16"/>
              </w:rPr>
              <w:t>17</w:t>
            </w:r>
          </w:p>
        </w:tc>
        <w:tc>
          <w:tcPr>
            <w:tcW w:type="dxa" w:w="2340"/>
            <w:vAlign w:val="top"/>
          </w:tcPr>
          <w:p>
            <w:r/>
            <w:r>
              <w:rPr>
                <w:b w:val="0"/>
                <w:sz w:val="16"/>
              </w:rPr>
              <w:t>Batch Backfill/Replay &amp; Stream Recovery — Idempotency, Duplicate Handling &amp; Failure Recovery</w:t>
            </w:r>
          </w:p>
        </w:tc>
        <w:tc>
          <w:tcPr>
            <w:tcW w:type="dxa" w:w="2340"/>
            <w:vAlign w:val="top"/>
          </w:tcPr>
          <w:p>
            <w:r/>
            <w:r>
              <w:rPr>
                <w:b w:val="0"/>
                <w:sz w:val="16"/>
              </w:rPr>
              <w:t>Prove replay, idempotency and recovery under realistic failure conditions.</w:t>
            </w:r>
          </w:p>
        </w:tc>
        <w:tc>
          <w:tcPr>
            <w:tcW w:type="dxa" w:w="2340"/>
            <w:vAlign w:val="top"/>
          </w:tcPr>
          <w:p>
            <w:r/>
            <w:r>
              <w:rPr>
                <w:b w:val="0"/>
                <w:sz w:val="16"/>
              </w:rPr>
              <w:t>Replay/idempotency/recovery evidence</w:t>
            </w:r>
          </w:p>
        </w:tc>
      </w:tr>
      <w:tr>
        <w:tc>
          <w:tcPr>
            <w:tcW w:type="dxa" w:w="2340"/>
            <w:vAlign w:val="top"/>
          </w:tcPr>
          <w:p>
            <w:r/>
            <w:r>
              <w:rPr>
                <w:b w:val="0"/>
                <w:sz w:val="16"/>
              </w:rPr>
              <w:t>18</w:t>
            </w:r>
          </w:p>
        </w:tc>
        <w:tc>
          <w:tcPr>
            <w:tcW w:type="dxa" w:w="2340"/>
            <w:vAlign w:val="top"/>
          </w:tcPr>
          <w:p>
            <w:r/>
            <w:r>
              <w:rPr>
                <w:b w:val="0"/>
                <w:sz w:val="16"/>
              </w:rPr>
              <w:t>Batch/Stream Production Readiness — Cutover, Rollback, Governance &amp; Release Validation</w:t>
            </w:r>
          </w:p>
        </w:tc>
        <w:tc>
          <w:tcPr>
            <w:tcW w:type="dxa" w:w="2340"/>
            <w:vAlign w:val="top"/>
          </w:tcPr>
          <w:p>
            <w:r/>
            <w:r>
              <w:rPr>
                <w:b w:val="0"/>
                <w:sz w:val="16"/>
              </w:rPr>
              <w:t>Combine functional, reliability, security and governance evidence for release readiness.</w:t>
            </w:r>
          </w:p>
        </w:tc>
        <w:tc>
          <w:tcPr>
            <w:tcW w:type="dxa" w:w="2340"/>
            <w:vAlign w:val="top"/>
          </w:tcPr>
          <w:p>
            <w:r/>
            <w:r>
              <w:rPr>
                <w:b w:val="0"/>
                <w:sz w:val="16"/>
              </w:rPr>
              <w:t>Acceptance matrix + cutover/rollback + sign-off</w:t>
            </w:r>
          </w:p>
        </w:tc>
      </w:tr>
    </w:tbl>
    <w:p>
      <w:pPr>
        <w:spacing w:before="160" w:after="80"/>
      </w:pPr>
      <w:r>
        <w:rPr>
          <w:b/>
          <w:color w:val="1F4E79"/>
          <w:sz w:val="26"/>
        </w:rPr>
        <w:t>Day 13 — Applied Data Processing — Batch Fundamentals &amp; Streaming Fundamentals</w:t>
      </w:r>
    </w:p>
    <w:p>
      <w:r>
        <w:rPr>
          <w:b/>
        </w:rPr>
        <w:t xml:space="preserve">Project context: </w:t>
      </w:r>
      <w:r>
        <w:t xml:space="preserve">ChargebackIQ. </w:t>
      </w:r>
      <w:r>
        <w:rPr>
          <w:b/>
        </w:rPr>
        <w:t xml:space="preserve">Source code: </w:t>
      </w:r>
      <w:r>
        <w:t xml:space="preserve">04_SOURCE_CODE/src/projects/chargebackiq/capstone_pipeline.py. </w:t>
      </w:r>
      <w:r>
        <w:rPr>
          <w:b/>
        </w:rPr>
        <w:t xml:space="preserve">Cloud mapping: </w:t>
      </w:r>
      <w:r>
        <w:t>Cloud Storage/Dataflow batch + Pub/Sub/Dataflow stream + BigQuery + HITL review.</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top"/>
            <w:shd w:fill="2F75B5"/>
          </w:tcPr>
          <w:p>
            <w:r/>
            <w:r>
              <w:rPr>
                <w:b/>
                <w:color w:val="FFFFFF"/>
                <w:sz w:val="16"/>
              </w:rPr>
              <w:t>Step</w:t>
            </w:r>
          </w:p>
        </w:tc>
        <w:tc>
          <w:tcPr>
            <w:tcW w:type="dxa" w:w="1560"/>
            <w:vAlign w:val="top"/>
            <w:shd w:fill="2F75B5"/>
          </w:tcPr>
          <w:p>
            <w:r/>
            <w:r>
              <w:rPr>
                <w:b/>
                <w:color w:val="FFFFFF"/>
                <w:sz w:val="16"/>
              </w:rPr>
              <w:t>What to perform</w:t>
            </w:r>
          </w:p>
        </w:tc>
        <w:tc>
          <w:tcPr>
            <w:tcW w:type="dxa" w:w="1560"/>
            <w:vAlign w:val="top"/>
            <w:shd w:fill="2F75B5"/>
          </w:tcPr>
          <w:p>
            <w:r/>
            <w:r>
              <w:rPr>
                <w:b/>
                <w:color w:val="FFFFFF"/>
                <w:sz w:val="16"/>
              </w:rPr>
              <w:t>How to perform</w:t>
            </w:r>
          </w:p>
        </w:tc>
        <w:tc>
          <w:tcPr>
            <w:tcW w:type="dxa" w:w="1560"/>
            <w:vAlign w:val="top"/>
            <w:shd w:fill="2F75B5"/>
          </w:tcPr>
          <w:p>
            <w:r/>
            <w:r>
              <w:rPr>
                <w:b/>
                <w:color w:val="FFFFFF"/>
                <w:sz w:val="16"/>
              </w:rPr>
              <w:t>Why this step is required</w:t>
            </w:r>
          </w:p>
        </w:tc>
        <w:tc>
          <w:tcPr>
            <w:tcW w:type="dxa" w:w="1560"/>
            <w:vAlign w:val="top"/>
            <w:shd w:fill="2F75B5"/>
          </w:tcPr>
          <w:p>
            <w:r/>
            <w:r>
              <w:rPr>
                <w:b/>
                <w:color w:val="FFFFFF"/>
                <w:sz w:val="16"/>
              </w:rPr>
              <w:t>Expected output</w:t>
            </w:r>
          </w:p>
        </w:tc>
        <w:tc>
          <w:tcPr>
            <w:tcW w:type="dxa" w:w="1560"/>
            <w:vAlign w:val="top"/>
            <w:shd w:fill="2F75B5"/>
          </w:tcPr>
          <w:p>
            <w:r/>
            <w:r>
              <w:rPr>
                <w:b/>
                <w:color w:val="FFFFFF"/>
                <w:sz w:val="16"/>
              </w:rPr>
              <w:t>Validation / acceptance evidence</w:t>
            </w:r>
          </w:p>
        </w:tc>
      </w:tr>
      <w:tr>
        <w:tc>
          <w:tcPr>
            <w:tcW w:type="dxa" w:w="1560"/>
            <w:vAlign w:val="top"/>
          </w:tcPr>
          <w:p>
            <w:r/>
            <w:r>
              <w:rPr>
                <w:b w:val="0"/>
                <w:sz w:val="15"/>
              </w:rPr>
              <w:t>1</w:t>
            </w:r>
          </w:p>
        </w:tc>
        <w:tc>
          <w:tcPr>
            <w:tcW w:type="dxa" w:w="1560"/>
            <w:vAlign w:val="top"/>
          </w:tcPr>
          <w:p>
            <w:r/>
            <w:r>
              <w:rPr>
                <w:b w:val="0"/>
                <w:sz w:val="15"/>
              </w:rPr>
              <w:t>Define historical feature batch boundary</w:t>
            </w:r>
          </w:p>
        </w:tc>
        <w:tc>
          <w:tcPr>
            <w:tcW w:type="dxa" w:w="1560"/>
            <w:vAlign w:val="top"/>
          </w:tcPr>
          <w:p>
            <w:r/>
            <w:r>
              <w:rPr>
                <w:b w:val="0"/>
                <w:sz w:val="15"/>
              </w:rPr>
              <w:t>Choose historical period/source versions for dispute and transaction features.</w:t>
            </w:r>
          </w:p>
        </w:tc>
        <w:tc>
          <w:tcPr>
            <w:tcW w:type="dxa" w:w="1560"/>
            <w:vAlign w:val="top"/>
          </w:tcPr>
          <w:p>
            <w:r/>
            <w:r>
              <w:rPr>
                <w:b w:val="0"/>
                <w:sz w:val="15"/>
              </w:rPr>
              <w:t>Feature generation must be reproducible and explainable.</w:t>
            </w:r>
          </w:p>
        </w:tc>
        <w:tc>
          <w:tcPr>
            <w:tcW w:type="dxa" w:w="1560"/>
            <w:vAlign w:val="top"/>
          </w:tcPr>
          <w:p>
            <w:r/>
            <w:r>
              <w:rPr>
                <w:b w:val="0"/>
                <w:sz w:val="15"/>
              </w:rPr>
              <w:t>Feature batch contract</w:t>
            </w:r>
          </w:p>
        </w:tc>
        <w:tc>
          <w:tcPr>
            <w:tcW w:type="dxa" w:w="1560"/>
            <w:vAlign w:val="top"/>
          </w:tcPr>
          <w:p>
            <w:r/>
            <w:r>
              <w:rPr>
                <w:b w:val="0"/>
                <w:sz w:val="15"/>
              </w:rPr>
              <w:t>Time range, sources and versions are explicit.</w:t>
            </w:r>
          </w:p>
        </w:tc>
      </w:tr>
      <w:tr>
        <w:tc>
          <w:tcPr>
            <w:tcW w:type="dxa" w:w="1560"/>
            <w:vAlign w:val="top"/>
          </w:tcPr>
          <w:p>
            <w:r/>
            <w:r>
              <w:rPr>
                <w:b w:val="0"/>
                <w:sz w:val="15"/>
              </w:rPr>
              <w:t>2</w:t>
            </w:r>
          </w:p>
        </w:tc>
        <w:tc>
          <w:tcPr>
            <w:tcW w:type="dxa" w:w="1560"/>
            <w:vAlign w:val="top"/>
          </w:tcPr>
          <w:p>
            <w:r/>
            <w:r>
              <w:rPr>
                <w:b w:val="0"/>
                <w:sz w:val="15"/>
              </w:rPr>
              <w:t>Build/version feature snapshot</w:t>
            </w:r>
          </w:p>
        </w:tc>
        <w:tc>
          <w:tcPr>
            <w:tcW w:type="dxa" w:w="1560"/>
            <w:vAlign w:val="top"/>
          </w:tcPr>
          <w:p>
            <w:r/>
            <w:r>
              <w:rPr>
                <w:b w:val="0"/>
                <w:sz w:val="15"/>
              </w:rPr>
              <w:t>Create deterministic features and stamp feature_version.</w:t>
            </w:r>
          </w:p>
        </w:tc>
        <w:tc>
          <w:tcPr>
            <w:tcW w:type="dxa" w:w="1560"/>
            <w:vAlign w:val="top"/>
          </w:tcPr>
          <w:p>
            <w:r/>
            <w:r>
              <w:rPr>
                <w:b w:val="0"/>
                <w:sz w:val="15"/>
              </w:rPr>
              <w:t>Versioning prevents historical/live feature confusion.</w:t>
            </w:r>
          </w:p>
        </w:tc>
        <w:tc>
          <w:tcPr>
            <w:tcW w:type="dxa" w:w="1560"/>
            <w:vAlign w:val="top"/>
          </w:tcPr>
          <w:p>
            <w:r/>
            <w:r>
              <w:rPr>
                <w:b w:val="0"/>
                <w:sz w:val="15"/>
              </w:rPr>
              <w:t>Feature snapshot</w:t>
            </w:r>
          </w:p>
        </w:tc>
        <w:tc>
          <w:tcPr>
            <w:tcW w:type="dxa" w:w="1560"/>
            <w:vAlign w:val="top"/>
          </w:tcPr>
          <w:p>
            <w:r/>
            <w:r>
              <w:rPr>
                <w:b w:val="0"/>
                <w:sz w:val="15"/>
              </w:rPr>
              <w:t>Every row has feature version and lineage.</w:t>
            </w:r>
          </w:p>
        </w:tc>
      </w:tr>
      <w:tr>
        <w:tc>
          <w:tcPr>
            <w:tcW w:type="dxa" w:w="1560"/>
            <w:vAlign w:val="top"/>
          </w:tcPr>
          <w:p>
            <w:r/>
            <w:r>
              <w:rPr>
                <w:b w:val="0"/>
                <w:sz w:val="15"/>
              </w:rPr>
              <w:t>3</w:t>
            </w:r>
          </w:p>
        </w:tc>
        <w:tc>
          <w:tcPr>
            <w:tcW w:type="dxa" w:w="1560"/>
            <w:vAlign w:val="top"/>
          </w:tcPr>
          <w:p>
            <w:r/>
            <w:r>
              <w:rPr>
                <w:b w:val="0"/>
                <w:sz w:val="15"/>
              </w:rPr>
              <w:t>Define live scoring events</w:t>
            </w:r>
          </w:p>
        </w:tc>
        <w:tc>
          <w:tcPr>
            <w:tcW w:type="dxa" w:w="1560"/>
            <w:vAlign w:val="top"/>
          </w:tcPr>
          <w:p>
            <w:r/>
            <w:r>
              <w:rPr>
                <w:b w:val="0"/>
                <w:sz w:val="15"/>
              </w:rPr>
              <w:t>Specify dispute_received, dispute_scored and human_review_required schemas.</w:t>
            </w:r>
          </w:p>
        </w:tc>
        <w:tc>
          <w:tcPr>
            <w:tcW w:type="dxa" w:w="1560"/>
            <w:vAlign w:val="top"/>
          </w:tcPr>
          <w:p>
            <w:r/>
            <w:r>
              <w:rPr>
                <w:b w:val="0"/>
                <w:sz w:val="15"/>
              </w:rPr>
              <w:t>Live processing needs stable contracts and provenance.</w:t>
            </w:r>
          </w:p>
        </w:tc>
        <w:tc>
          <w:tcPr>
            <w:tcW w:type="dxa" w:w="1560"/>
            <w:vAlign w:val="top"/>
          </w:tcPr>
          <w:p>
            <w:r/>
            <w:r>
              <w:rPr>
                <w:b w:val="0"/>
                <w:sz w:val="15"/>
              </w:rPr>
              <w:t>Event schema</w:t>
            </w:r>
          </w:p>
        </w:tc>
        <w:tc>
          <w:tcPr>
            <w:tcW w:type="dxa" w:w="1560"/>
            <w:vAlign w:val="top"/>
          </w:tcPr>
          <w:p>
            <w:r/>
            <w:r>
              <w:rPr>
                <w:b w:val="0"/>
                <w:sz w:val="15"/>
              </w:rPr>
              <w:t>IDs, event time and feature version are required.</w:t>
            </w:r>
          </w:p>
        </w:tc>
      </w:tr>
      <w:tr>
        <w:tc>
          <w:tcPr>
            <w:tcW w:type="dxa" w:w="1560"/>
            <w:vAlign w:val="top"/>
          </w:tcPr>
          <w:p>
            <w:r/>
            <w:r>
              <w:rPr>
                <w:b w:val="0"/>
                <w:sz w:val="15"/>
              </w:rPr>
              <w:t>4</w:t>
            </w:r>
          </w:p>
        </w:tc>
        <w:tc>
          <w:tcPr>
            <w:tcW w:type="dxa" w:w="1560"/>
            <w:vAlign w:val="top"/>
          </w:tcPr>
          <w:p>
            <w:r/>
            <w:r>
              <w:rPr>
                <w:b w:val="0"/>
                <w:sz w:val="15"/>
              </w:rPr>
              <w:t>Define human-review stream boundary</w:t>
            </w:r>
          </w:p>
        </w:tc>
        <w:tc>
          <w:tcPr>
            <w:tcW w:type="dxa" w:w="1560"/>
            <w:vAlign w:val="top"/>
          </w:tcPr>
          <w:p>
            <w:r/>
            <w:r>
              <w:rPr>
                <w:b w:val="0"/>
                <w:sz w:val="15"/>
              </w:rPr>
              <w:t>Emit review events but keep accept/represent/credit decisions human-controlled.</w:t>
            </w:r>
          </w:p>
        </w:tc>
        <w:tc>
          <w:tcPr>
            <w:tcW w:type="dxa" w:w="1560"/>
            <w:vAlign w:val="top"/>
          </w:tcPr>
          <w:p>
            <w:r/>
            <w:r>
              <w:rPr>
                <w:b w:val="0"/>
                <w:sz w:val="15"/>
              </w:rPr>
              <w:t>Chargeback outcomes move money; automation must preserve decision rights.</w:t>
            </w:r>
          </w:p>
        </w:tc>
        <w:tc>
          <w:tcPr>
            <w:tcW w:type="dxa" w:w="1560"/>
            <w:vAlign w:val="top"/>
          </w:tcPr>
          <w:p>
            <w:r/>
            <w:r>
              <w:rPr>
                <w:b w:val="0"/>
                <w:sz w:val="15"/>
              </w:rPr>
              <w:t>HITL flow</w:t>
            </w:r>
          </w:p>
        </w:tc>
        <w:tc>
          <w:tcPr>
            <w:tcW w:type="dxa" w:w="1560"/>
            <w:vAlign w:val="top"/>
          </w:tcPr>
          <w:p>
            <w:r/>
            <w:r>
              <w:rPr>
                <w:b w:val="0"/>
                <w:sz w:val="15"/>
              </w:rPr>
              <w:t>Consequential decisions include a human checkpoint.</w:t>
            </w:r>
          </w:p>
        </w:tc>
      </w:tr>
      <w:tr>
        <w:tc>
          <w:tcPr>
            <w:tcW w:type="dxa" w:w="1560"/>
            <w:vAlign w:val="top"/>
          </w:tcPr>
          <w:p>
            <w:r/>
            <w:r>
              <w:rPr>
                <w:b w:val="0"/>
                <w:sz w:val="15"/>
              </w:rPr>
              <w:t>5</w:t>
            </w:r>
          </w:p>
        </w:tc>
        <w:tc>
          <w:tcPr>
            <w:tcW w:type="dxa" w:w="1560"/>
            <w:vAlign w:val="top"/>
          </w:tcPr>
          <w:p>
            <w:r/>
            <w:r>
              <w:rPr>
                <w:b w:val="0"/>
                <w:sz w:val="15"/>
              </w:rPr>
              <w:t>Define batch-to-stream cutover</w:t>
            </w:r>
          </w:p>
        </w:tc>
        <w:tc>
          <w:tcPr>
            <w:tcW w:type="dxa" w:w="1560"/>
            <w:vAlign w:val="top"/>
          </w:tcPr>
          <w:p>
            <w:r/>
            <w:r>
              <w:rPr>
                <w:b w:val="0"/>
                <w:sz w:val="15"/>
              </w:rPr>
              <w:t>Set timestamp/sequence separating historical backfill from live processing.</w:t>
            </w:r>
          </w:p>
        </w:tc>
        <w:tc>
          <w:tcPr>
            <w:tcW w:type="dxa" w:w="1560"/>
            <w:vAlign w:val="top"/>
          </w:tcPr>
          <w:p>
            <w:r/>
            <w:r>
              <w:rPr>
                <w:b w:val="0"/>
                <w:sz w:val="15"/>
              </w:rPr>
              <w:t>A clear boundary prevents gaps and double processing.</w:t>
            </w:r>
          </w:p>
        </w:tc>
        <w:tc>
          <w:tcPr>
            <w:tcW w:type="dxa" w:w="1560"/>
            <w:vAlign w:val="top"/>
          </w:tcPr>
          <w:p>
            <w:r/>
            <w:r>
              <w:rPr>
                <w:b w:val="0"/>
                <w:sz w:val="15"/>
              </w:rPr>
              <w:t>Cutover marker</w:t>
            </w:r>
          </w:p>
        </w:tc>
        <w:tc>
          <w:tcPr>
            <w:tcW w:type="dxa" w:w="1560"/>
            <w:vAlign w:val="top"/>
          </w:tcPr>
          <w:p>
            <w:r/>
            <w:r>
              <w:rPr>
                <w:b w:val="0"/>
                <w:sz w:val="15"/>
              </w:rPr>
              <w:t>No undefined overlap/gap.</w:t>
            </w:r>
          </w:p>
        </w:tc>
      </w:tr>
    </w:tbl>
    <w:p>
      <w:r>
        <w:rPr>
          <w:b/>
        </w:rPr>
        <w:t xml:space="preserve">Execution logic and reasoning chain: </w:t>
      </w:r>
      <w:r>
        <w:t>define the processing/control boundary → create deterministic evidence → introduce event flow without changing business authority → validate with measurable controls → retain artefacts for replay, audit and the next day. This ordering is intentional: observability and cloud scale are added only after correctness is measurable.</w:t>
      </w:r>
    </w:p>
    <w:p>
      <w:r>
        <w:rPr>
          <w:b/>
        </w:rPr>
        <w:t xml:space="preserve">Minimum evidence to retain: </w:t>
      </w:r>
      <w:r>
        <w:t>Batch controls + event trace + reconciliation; test output; one representative trace; any failure/recovery evidence; and the source/config version used.</w:t>
      </w:r>
    </w:p>
    <w:p>
      <w:pPr>
        <w:spacing w:before="160" w:after="80"/>
      </w:pPr>
      <w:r>
        <w:rPr>
          <w:b/>
          <w:color w:val="1F4E79"/>
          <w:sz w:val="26"/>
        </w:rPr>
        <w:t>Day 14 — Cloud Batch &amp; Event-Streaming Architecture — Pub/Sub, Dataflow/Apache Beam &amp; BigQuery</w:t>
      </w:r>
    </w:p>
    <w:p>
      <w:r>
        <w:rPr>
          <w:b/>
        </w:rPr>
        <w:t xml:space="preserve">Project context: </w:t>
      </w:r>
      <w:r>
        <w:t xml:space="preserve">ChargebackIQ. </w:t>
      </w:r>
      <w:r>
        <w:rPr>
          <w:b/>
        </w:rPr>
        <w:t xml:space="preserve">Source code: </w:t>
      </w:r>
      <w:r>
        <w:t xml:space="preserve">04_SOURCE_CODE/src/projects/chargebackiq/capstone_pipeline.py. </w:t>
      </w:r>
      <w:r>
        <w:rPr>
          <w:b/>
        </w:rPr>
        <w:t xml:space="preserve">Cloud mapping: </w:t>
      </w:r>
      <w:r>
        <w:t>Cloud Storage/Dataflow batch + Pub/Sub/Dataflow stream + BigQuery + HITL review.</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top"/>
            <w:shd w:fill="2F75B5"/>
          </w:tcPr>
          <w:p>
            <w:r/>
            <w:r>
              <w:rPr>
                <w:b/>
                <w:color w:val="FFFFFF"/>
                <w:sz w:val="16"/>
              </w:rPr>
              <w:t>Step</w:t>
            </w:r>
          </w:p>
        </w:tc>
        <w:tc>
          <w:tcPr>
            <w:tcW w:type="dxa" w:w="1560"/>
            <w:vAlign w:val="top"/>
            <w:shd w:fill="2F75B5"/>
          </w:tcPr>
          <w:p>
            <w:r/>
            <w:r>
              <w:rPr>
                <w:b/>
                <w:color w:val="FFFFFF"/>
                <w:sz w:val="16"/>
              </w:rPr>
              <w:t>What to perform</w:t>
            </w:r>
          </w:p>
        </w:tc>
        <w:tc>
          <w:tcPr>
            <w:tcW w:type="dxa" w:w="1560"/>
            <w:vAlign w:val="top"/>
            <w:shd w:fill="2F75B5"/>
          </w:tcPr>
          <w:p>
            <w:r/>
            <w:r>
              <w:rPr>
                <w:b/>
                <w:color w:val="FFFFFF"/>
                <w:sz w:val="16"/>
              </w:rPr>
              <w:t>How to perform</w:t>
            </w:r>
          </w:p>
        </w:tc>
        <w:tc>
          <w:tcPr>
            <w:tcW w:type="dxa" w:w="1560"/>
            <w:vAlign w:val="top"/>
            <w:shd w:fill="2F75B5"/>
          </w:tcPr>
          <w:p>
            <w:r/>
            <w:r>
              <w:rPr>
                <w:b/>
                <w:color w:val="FFFFFF"/>
                <w:sz w:val="16"/>
              </w:rPr>
              <w:t>Why this step is required</w:t>
            </w:r>
          </w:p>
        </w:tc>
        <w:tc>
          <w:tcPr>
            <w:tcW w:type="dxa" w:w="1560"/>
            <w:vAlign w:val="top"/>
            <w:shd w:fill="2F75B5"/>
          </w:tcPr>
          <w:p>
            <w:r/>
            <w:r>
              <w:rPr>
                <w:b/>
                <w:color w:val="FFFFFF"/>
                <w:sz w:val="16"/>
              </w:rPr>
              <w:t>Expected output</w:t>
            </w:r>
          </w:p>
        </w:tc>
        <w:tc>
          <w:tcPr>
            <w:tcW w:type="dxa" w:w="1560"/>
            <w:vAlign w:val="top"/>
            <w:shd w:fill="2F75B5"/>
          </w:tcPr>
          <w:p>
            <w:r/>
            <w:r>
              <w:rPr>
                <w:b/>
                <w:color w:val="FFFFFF"/>
                <w:sz w:val="16"/>
              </w:rPr>
              <w:t>Validation / acceptance evidence</w:t>
            </w:r>
          </w:p>
        </w:tc>
      </w:tr>
      <w:tr>
        <w:tc>
          <w:tcPr>
            <w:tcW w:type="dxa" w:w="1560"/>
            <w:vAlign w:val="top"/>
          </w:tcPr>
          <w:p>
            <w:r/>
            <w:r>
              <w:rPr>
                <w:b w:val="0"/>
                <w:sz w:val="15"/>
              </w:rPr>
              <w:t>1</w:t>
            </w:r>
          </w:p>
        </w:tc>
        <w:tc>
          <w:tcPr>
            <w:tcW w:type="dxa" w:w="1560"/>
            <w:vAlign w:val="top"/>
          </w:tcPr>
          <w:p>
            <w:r/>
            <w:r>
              <w:rPr>
                <w:b w:val="0"/>
                <w:sz w:val="15"/>
              </w:rPr>
              <w:t>Map batch build to Cloud Storage/Dataflow</w:t>
            </w:r>
          </w:p>
        </w:tc>
        <w:tc>
          <w:tcPr>
            <w:tcW w:type="dxa" w:w="1560"/>
            <w:vAlign w:val="top"/>
          </w:tcPr>
          <w:p>
            <w:r/>
            <w:r>
              <w:rPr>
                <w:b w:val="0"/>
                <w:sz w:val="15"/>
              </w:rPr>
              <w:t>Define source layout, Beam transforms, output schema and sink.</w:t>
            </w:r>
          </w:p>
        </w:tc>
        <w:tc>
          <w:tcPr>
            <w:tcW w:type="dxa" w:w="1560"/>
            <w:vAlign w:val="top"/>
          </w:tcPr>
          <w:p>
            <w:r/>
            <w:r>
              <w:rPr>
                <w:b w:val="0"/>
                <w:sz w:val="15"/>
              </w:rPr>
              <w:t>Backfill must scale independently while producing compatible features.</w:t>
            </w:r>
          </w:p>
        </w:tc>
        <w:tc>
          <w:tcPr>
            <w:tcW w:type="dxa" w:w="1560"/>
            <w:vAlign w:val="top"/>
          </w:tcPr>
          <w:p>
            <w:r/>
            <w:r>
              <w:rPr>
                <w:b w:val="0"/>
                <w:sz w:val="15"/>
              </w:rPr>
              <w:t>Batch architecture</w:t>
            </w:r>
          </w:p>
        </w:tc>
        <w:tc>
          <w:tcPr>
            <w:tcW w:type="dxa" w:w="1560"/>
            <w:vAlign w:val="top"/>
          </w:tcPr>
          <w:p>
            <w:r/>
            <w:r>
              <w:rPr>
                <w:b w:val="0"/>
                <w:sz w:val="15"/>
              </w:rPr>
              <w:t>Stages/schema/persistence are explicit.</w:t>
            </w:r>
          </w:p>
        </w:tc>
      </w:tr>
      <w:tr>
        <w:tc>
          <w:tcPr>
            <w:tcW w:type="dxa" w:w="1560"/>
            <w:vAlign w:val="top"/>
          </w:tcPr>
          <w:p>
            <w:r/>
            <w:r>
              <w:rPr>
                <w:b w:val="0"/>
                <w:sz w:val="15"/>
              </w:rPr>
              <w:t>2</w:t>
            </w:r>
          </w:p>
        </w:tc>
        <w:tc>
          <w:tcPr>
            <w:tcW w:type="dxa" w:w="1560"/>
            <w:vAlign w:val="top"/>
          </w:tcPr>
          <w:p>
            <w:r/>
            <w:r>
              <w:rPr>
                <w:b w:val="0"/>
                <w:sz w:val="15"/>
              </w:rPr>
              <w:t>Map live scoring to Pub/Sub/Dataflow</w:t>
            </w:r>
          </w:p>
        </w:tc>
        <w:tc>
          <w:tcPr>
            <w:tcW w:type="dxa" w:w="1560"/>
            <w:vAlign w:val="top"/>
          </w:tcPr>
          <w:p>
            <w:r/>
            <w:r>
              <w:rPr>
                <w:b w:val="0"/>
                <w:sz w:val="15"/>
              </w:rPr>
              <w:t>Define ingress, scoring transform, output topics/tables and review queue.</w:t>
            </w:r>
          </w:p>
        </w:tc>
        <w:tc>
          <w:tcPr>
            <w:tcW w:type="dxa" w:w="1560"/>
            <w:vAlign w:val="top"/>
          </w:tcPr>
          <w:p>
            <w:r/>
            <w:r>
              <w:rPr>
                <w:b w:val="0"/>
                <w:sz w:val="15"/>
              </w:rPr>
              <w:t>Live path needs bounded responsibilities and durable transitions.</w:t>
            </w:r>
          </w:p>
        </w:tc>
        <w:tc>
          <w:tcPr>
            <w:tcW w:type="dxa" w:w="1560"/>
            <w:vAlign w:val="top"/>
          </w:tcPr>
          <w:p>
            <w:r/>
            <w:r>
              <w:rPr>
                <w:b w:val="0"/>
                <w:sz w:val="15"/>
              </w:rPr>
              <w:t>Streaming architecture</w:t>
            </w:r>
          </w:p>
        </w:tc>
        <w:tc>
          <w:tcPr>
            <w:tcW w:type="dxa" w:w="1560"/>
            <w:vAlign w:val="top"/>
          </w:tcPr>
          <w:p>
            <w:r/>
            <w:r>
              <w:rPr>
                <w:b w:val="0"/>
                <w:sz w:val="15"/>
              </w:rPr>
              <w:t>Each component has a contract.</w:t>
            </w:r>
          </w:p>
        </w:tc>
      </w:tr>
      <w:tr>
        <w:tc>
          <w:tcPr>
            <w:tcW w:type="dxa" w:w="1560"/>
            <w:vAlign w:val="top"/>
          </w:tcPr>
          <w:p>
            <w:r/>
            <w:r>
              <w:rPr>
                <w:b w:val="0"/>
                <w:sz w:val="15"/>
              </w:rPr>
              <w:t>3</w:t>
            </w:r>
          </w:p>
        </w:tc>
        <w:tc>
          <w:tcPr>
            <w:tcW w:type="dxa" w:w="1560"/>
            <w:vAlign w:val="top"/>
          </w:tcPr>
          <w:p>
            <w:r/>
            <w:r>
              <w:rPr>
                <w:b w:val="0"/>
                <w:sz w:val="15"/>
              </w:rPr>
              <w:t>Converge batch and stream features</w:t>
            </w:r>
          </w:p>
        </w:tc>
        <w:tc>
          <w:tcPr>
            <w:tcW w:type="dxa" w:w="1560"/>
            <w:vAlign w:val="top"/>
          </w:tcPr>
          <w:p>
            <w:r/>
            <w:r>
              <w:rPr>
                <w:b w:val="0"/>
                <w:sz w:val="15"/>
              </w:rPr>
              <w:t>Use same feature names/rules/versioning in both paths.</w:t>
            </w:r>
          </w:p>
        </w:tc>
        <w:tc>
          <w:tcPr>
            <w:tcW w:type="dxa" w:w="1560"/>
            <w:vAlign w:val="top"/>
          </w:tcPr>
          <w:p>
            <w:r/>
            <w:r>
              <w:rPr>
                <w:b w:val="0"/>
                <w:sz w:val="15"/>
              </w:rPr>
              <w:t>Batch/stream skew causes inconsistent decisions.</w:t>
            </w:r>
          </w:p>
        </w:tc>
        <w:tc>
          <w:tcPr>
            <w:tcW w:type="dxa" w:w="1560"/>
            <w:vAlign w:val="top"/>
          </w:tcPr>
          <w:p>
            <w:r/>
            <w:r>
              <w:rPr>
                <w:b w:val="0"/>
                <w:sz w:val="15"/>
              </w:rPr>
              <w:t>Feature parity matrix</w:t>
            </w:r>
          </w:p>
        </w:tc>
        <w:tc>
          <w:tcPr>
            <w:tcW w:type="dxa" w:w="1560"/>
            <w:vAlign w:val="top"/>
          </w:tcPr>
          <w:p>
            <w:r/>
            <w:r>
              <w:rPr>
                <w:b w:val="0"/>
                <w:sz w:val="15"/>
              </w:rPr>
              <w:t>Shared rules are identified/tested.</w:t>
            </w:r>
          </w:p>
        </w:tc>
      </w:tr>
      <w:tr>
        <w:tc>
          <w:tcPr>
            <w:tcW w:type="dxa" w:w="1560"/>
            <w:vAlign w:val="top"/>
          </w:tcPr>
          <w:p>
            <w:r/>
            <w:r>
              <w:rPr>
                <w:b w:val="0"/>
                <w:sz w:val="15"/>
              </w:rPr>
              <w:t>4</w:t>
            </w:r>
          </w:p>
        </w:tc>
        <w:tc>
          <w:tcPr>
            <w:tcW w:type="dxa" w:w="1560"/>
            <w:vAlign w:val="top"/>
          </w:tcPr>
          <w:p>
            <w:r/>
            <w:r>
              <w:rPr>
                <w:b w:val="0"/>
                <w:sz w:val="15"/>
              </w:rPr>
              <w:t>Define IAM and sensitive-data boundary</w:t>
            </w:r>
          </w:p>
        </w:tc>
        <w:tc>
          <w:tcPr>
            <w:tcW w:type="dxa" w:w="1560"/>
            <w:vAlign w:val="top"/>
          </w:tcPr>
          <w:p>
            <w:r/>
            <w:r>
              <w:rPr>
                <w:b w:val="0"/>
                <w:sz w:val="15"/>
              </w:rPr>
              <w:t>Use least privilege and define masking/tokenization.</w:t>
            </w:r>
          </w:p>
        </w:tc>
        <w:tc>
          <w:tcPr>
            <w:tcW w:type="dxa" w:w="1560"/>
            <w:vAlign w:val="top"/>
          </w:tcPr>
          <w:p>
            <w:r/>
            <w:r>
              <w:rPr>
                <w:b w:val="0"/>
                <w:sz w:val="15"/>
              </w:rPr>
              <w:t>Dispute data is sensitive and financial.</w:t>
            </w:r>
          </w:p>
        </w:tc>
        <w:tc>
          <w:tcPr>
            <w:tcW w:type="dxa" w:w="1560"/>
            <w:vAlign w:val="top"/>
          </w:tcPr>
          <w:p>
            <w:r/>
            <w:r>
              <w:rPr>
                <w:b w:val="0"/>
                <w:sz w:val="15"/>
              </w:rPr>
              <w:t>Security matrix</w:t>
            </w:r>
          </w:p>
        </w:tc>
        <w:tc>
          <w:tcPr>
            <w:tcW w:type="dxa" w:w="1560"/>
            <w:vAlign w:val="top"/>
          </w:tcPr>
          <w:p>
            <w:r/>
            <w:r>
              <w:rPr>
                <w:b w:val="0"/>
                <w:sz w:val="15"/>
              </w:rPr>
              <w:t>No component receives unnecessary data/access.</w:t>
            </w:r>
          </w:p>
        </w:tc>
      </w:tr>
      <w:tr>
        <w:tc>
          <w:tcPr>
            <w:tcW w:type="dxa" w:w="1560"/>
            <w:vAlign w:val="top"/>
          </w:tcPr>
          <w:p>
            <w:r/>
            <w:r>
              <w:rPr>
                <w:b w:val="0"/>
                <w:sz w:val="15"/>
              </w:rPr>
              <w:t>5</w:t>
            </w:r>
          </w:p>
        </w:tc>
        <w:tc>
          <w:tcPr>
            <w:tcW w:type="dxa" w:w="1560"/>
            <w:vAlign w:val="top"/>
          </w:tcPr>
          <w:p>
            <w:r/>
            <w:r>
              <w:rPr>
                <w:b w:val="0"/>
                <w:sz w:val="15"/>
              </w:rPr>
              <w:t>Define failure/review routing</w:t>
            </w:r>
          </w:p>
        </w:tc>
        <w:tc>
          <w:tcPr>
            <w:tcW w:type="dxa" w:w="1560"/>
            <w:vAlign w:val="top"/>
          </w:tcPr>
          <w:p>
            <w:r/>
            <w:r>
              <w:rPr>
                <w:b w:val="0"/>
                <w:sz w:val="15"/>
              </w:rPr>
              <w:t>Specify retries, dead-letter and manual-review escalation.</w:t>
            </w:r>
          </w:p>
        </w:tc>
        <w:tc>
          <w:tcPr>
            <w:tcW w:type="dxa" w:w="1560"/>
            <w:vAlign w:val="top"/>
          </w:tcPr>
          <w:p>
            <w:r/>
            <w:r>
              <w:rPr>
                <w:b w:val="0"/>
                <w:sz w:val="15"/>
              </w:rPr>
              <w:t>Recovery must not bypass human controls or silently discard disputes.</w:t>
            </w:r>
          </w:p>
        </w:tc>
        <w:tc>
          <w:tcPr>
            <w:tcW w:type="dxa" w:w="1560"/>
            <w:vAlign w:val="top"/>
          </w:tcPr>
          <w:p>
            <w:r/>
            <w:r>
              <w:rPr>
                <w:b w:val="0"/>
                <w:sz w:val="15"/>
              </w:rPr>
              <w:t>Failure/HITL routing</w:t>
            </w:r>
          </w:p>
        </w:tc>
        <w:tc>
          <w:tcPr>
            <w:tcW w:type="dxa" w:w="1560"/>
            <w:vAlign w:val="top"/>
          </w:tcPr>
          <w:p>
            <w:r/>
            <w:r>
              <w:rPr>
                <w:b w:val="0"/>
                <w:sz w:val="15"/>
              </w:rPr>
              <w:t>Every failure has owner and terminal path.</w:t>
            </w:r>
          </w:p>
        </w:tc>
      </w:tr>
    </w:tbl>
    <w:p>
      <w:r>
        <w:rPr>
          <w:b/>
        </w:rPr>
        <w:t xml:space="preserve">Execution logic and reasoning chain: </w:t>
      </w:r>
      <w:r>
        <w:t>define the processing/control boundary → create deterministic evidence → introduce event flow without changing business authority → validate with measurable controls → retain artefacts for replay, audit and the next day. This ordering is intentional: observability and cloud scale are added only after correctness is measurable.</w:t>
      </w:r>
    </w:p>
    <w:p>
      <w:r>
        <w:rPr>
          <w:b/>
        </w:rPr>
        <w:t xml:space="preserve">Minimum evidence to retain: </w:t>
      </w:r>
      <w:r>
        <w:t>Architecture + contracts + IAM/failure design; test output; one representative trace; any failure/recovery evidence; and the source/config version used.</w:t>
      </w:r>
    </w:p>
    <w:p>
      <w:pPr>
        <w:spacing w:before="160" w:after="80"/>
      </w:pPr>
      <w:r>
        <w:rPr>
          <w:b/>
          <w:color w:val="1F4E79"/>
          <w:sz w:val="26"/>
        </w:rPr>
        <w:t>Day 15 — Batch Validation &amp; Publisher Batching — Event Time, Windows, Watermarks &amp; Late Data</w:t>
      </w:r>
    </w:p>
    <w:p>
      <w:r>
        <w:rPr>
          <w:b/>
        </w:rPr>
        <w:t xml:space="preserve">Project context: </w:t>
      </w:r>
      <w:r>
        <w:t xml:space="preserve">ChargebackIQ. </w:t>
      </w:r>
      <w:r>
        <w:rPr>
          <w:b/>
        </w:rPr>
        <w:t xml:space="preserve">Source code: </w:t>
      </w:r>
      <w:r>
        <w:t xml:space="preserve">04_SOURCE_CODE/src/projects/chargebackiq/capstone_pipeline.py. </w:t>
      </w:r>
      <w:r>
        <w:rPr>
          <w:b/>
        </w:rPr>
        <w:t xml:space="preserve">Cloud mapping: </w:t>
      </w:r>
      <w:r>
        <w:t>Cloud Storage/Dataflow batch + Pub/Sub/Dataflow stream + BigQuery + HITL review.</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top"/>
            <w:shd w:fill="2F75B5"/>
          </w:tcPr>
          <w:p>
            <w:r/>
            <w:r>
              <w:rPr>
                <w:b/>
                <w:color w:val="FFFFFF"/>
                <w:sz w:val="16"/>
              </w:rPr>
              <w:t>Step</w:t>
            </w:r>
          </w:p>
        </w:tc>
        <w:tc>
          <w:tcPr>
            <w:tcW w:type="dxa" w:w="1560"/>
            <w:vAlign w:val="top"/>
            <w:shd w:fill="2F75B5"/>
          </w:tcPr>
          <w:p>
            <w:r/>
            <w:r>
              <w:rPr>
                <w:b/>
                <w:color w:val="FFFFFF"/>
                <w:sz w:val="16"/>
              </w:rPr>
              <w:t>What to perform</w:t>
            </w:r>
          </w:p>
        </w:tc>
        <w:tc>
          <w:tcPr>
            <w:tcW w:type="dxa" w:w="1560"/>
            <w:vAlign w:val="top"/>
            <w:shd w:fill="2F75B5"/>
          </w:tcPr>
          <w:p>
            <w:r/>
            <w:r>
              <w:rPr>
                <w:b/>
                <w:color w:val="FFFFFF"/>
                <w:sz w:val="16"/>
              </w:rPr>
              <w:t>How to perform</w:t>
            </w:r>
          </w:p>
        </w:tc>
        <w:tc>
          <w:tcPr>
            <w:tcW w:type="dxa" w:w="1560"/>
            <w:vAlign w:val="top"/>
            <w:shd w:fill="2F75B5"/>
          </w:tcPr>
          <w:p>
            <w:r/>
            <w:r>
              <w:rPr>
                <w:b/>
                <w:color w:val="FFFFFF"/>
                <w:sz w:val="16"/>
              </w:rPr>
              <w:t>Why this step is required</w:t>
            </w:r>
          </w:p>
        </w:tc>
        <w:tc>
          <w:tcPr>
            <w:tcW w:type="dxa" w:w="1560"/>
            <w:vAlign w:val="top"/>
            <w:shd w:fill="2F75B5"/>
          </w:tcPr>
          <w:p>
            <w:r/>
            <w:r>
              <w:rPr>
                <w:b/>
                <w:color w:val="FFFFFF"/>
                <w:sz w:val="16"/>
              </w:rPr>
              <w:t>Expected output</w:t>
            </w:r>
          </w:p>
        </w:tc>
        <w:tc>
          <w:tcPr>
            <w:tcW w:type="dxa" w:w="1560"/>
            <w:vAlign w:val="top"/>
            <w:shd w:fill="2F75B5"/>
          </w:tcPr>
          <w:p>
            <w:r/>
            <w:r>
              <w:rPr>
                <w:b/>
                <w:color w:val="FFFFFF"/>
                <w:sz w:val="16"/>
              </w:rPr>
              <w:t>Validation / acceptance evidence</w:t>
            </w:r>
          </w:p>
        </w:tc>
      </w:tr>
      <w:tr>
        <w:tc>
          <w:tcPr>
            <w:tcW w:type="dxa" w:w="1560"/>
            <w:vAlign w:val="top"/>
          </w:tcPr>
          <w:p>
            <w:r/>
            <w:r>
              <w:rPr>
                <w:b w:val="0"/>
                <w:sz w:val="15"/>
              </w:rPr>
              <w:t>1</w:t>
            </w:r>
          </w:p>
        </w:tc>
        <w:tc>
          <w:tcPr>
            <w:tcW w:type="dxa" w:w="1560"/>
            <w:vAlign w:val="top"/>
          </w:tcPr>
          <w:p>
            <w:r/>
            <w:r>
              <w:rPr>
                <w:b w:val="0"/>
                <w:sz w:val="15"/>
              </w:rPr>
              <w:t>Create golden historical features</w:t>
            </w:r>
          </w:p>
        </w:tc>
        <w:tc>
          <w:tcPr>
            <w:tcW w:type="dxa" w:w="1560"/>
            <w:vAlign w:val="top"/>
          </w:tcPr>
          <w:p>
            <w:r/>
            <w:r>
              <w:rPr>
                <w:b w:val="0"/>
                <w:sz w:val="15"/>
              </w:rPr>
              <w:t>Choose disputes with known expected features.</w:t>
            </w:r>
          </w:p>
        </w:tc>
        <w:tc>
          <w:tcPr>
            <w:tcW w:type="dxa" w:w="1560"/>
            <w:vAlign w:val="top"/>
          </w:tcPr>
          <w:p>
            <w:r/>
            <w:r>
              <w:rPr>
                <w:b w:val="0"/>
                <w:sz w:val="15"/>
              </w:rPr>
              <w:t>Golden features catch plausible-but-wrong transformations.</w:t>
            </w:r>
          </w:p>
        </w:tc>
        <w:tc>
          <w:tcPr>
            <w:tcW w:type="dxa" w:w="1560"/>
            <w:vAlign w:val="top"/>
          </w:tcPr>
          <w:p>
            <w:r/>
            <w:r>
              <w:rPr>
                <w:b w:val="0"/>
                <w:sz w:val="15"/>
              </w:rPr>
              <w:t>Golden features</w:t>
            </w:r>
          </w:p>
        </w:tc>
        <w:tc>
          <w:tcPr>
            <w:tcW w:type="dxa" w:w="1560"/>
            <w:vAlign w:val="top"/>
          </w:tcPr>
          <w:p>
            <w:r/>
            <w:r>
              <w:rPr>
                <w:b w:val="0"/>
                <w:sz w:val="15"/>
              </w:rPr>
              <w:t>Feature values are deterministic.</w:t>
            </w:r>
          </w:p>
        </w:tc>
      </w:tr>
      <w:tr>
        <w:tc>
          <w:tcPr>
            <w:tcW w:type="dxa" w:w="1560"/>
            <w:vAlign w:val="top"/>
          </w:tcPr>
          <w:p>
            <w:r/>
            <w:r>
              <w:rPr>
                <w:b w:val="0"/>
                <w:sz w:val="15"/>
              </w:rPr>
              <w:t>2</w:t>
            </w:r>
          </w:p>
        </w:tc>
        <w:tc>
          <w:tcPr>
            <w:tcW w:type="dxa" w:w="1560"/>
            <w:vAlign w:val="top"/>
          </w:tcPr>
          <w:p>
            <w:r/>
            <w:r>
              <w:rPr>
                <w:b w:val="0"/>
                <w:sz w:val="15"/>
              </w:rPr>
              <w:t>Define event time and lateness</w:t>
            </w:r>
          </w:p>
        </w:tc>
        <w:tc>
          <w:tcPr>
            <w:tcW w:type="dxa" w:w="1560"/>
            <w:vAlign w:val="top"/>
          </w:tcPr>
          <w:p>
            <w:r/>
            <w:r>
              <w:rPr>
                <w:b w:val="0"/>
                <w:sz w:val="15"/>
              </w:rPr>
              <w:t>Use business event time and explicit allowed-lateness threshold.</w:t>
            </w:r>
          </w:p>
        </w:tc>
        <w:tc>
          <w:tcPr>
            <w:tcW w:type="dxa" w:w="1560"/>
            <w:vAlign w:val="top"/>
          </w:tcPr>
          <w:p>
            <w:r/>
            <w:r>
              <w:rPr>
                <w:b w:val="0"/>
                <w:sz w:val="15"/>
              </w:rPr>
              <w:t>Evidence/payment events can arrive late.</w:t>
            </w:r>
          </w:p>
        </w:tc>
        <w:tc>
          <w:tcPr>
            <w:tcW w:type="dxa" w:w="1560"/>
            <w:vAlign w:val="top"/>
          </w:tcPr>
          <w:p>
            <w:r/>
            <w:r>
              <w:rPr>
                <w:b w:val="0"/>
                <w:sz w:val="15"/>
              </w:rPr>
              <w:t>Time policy</w:t>
            </w:r>
          </w:p>
        </w:tc>
        <w:tc>
          <w:tcPr>
            <w:tcW w:type="dxa" w:w="1560"/>
            <w:vAlign w:val="top"/>
          </w:tcPr>
          <w:p>
            <w:r/>
            <w:r>
              <w:rPr>
                <w:b w:val="0"/>
                <w:sz w:val="15"/>
              </w:rPr>
              <w:t>Event vs processing time is distinct.</w:t>
            </w:r>
          </w:p>
        </w:tc>
      </w:tr>
      <w:tr>
        <w:tc>
          <w:tcPr>
            <w:tcW w:type="dxa" w:w="1560"/>
            <w:vAlign w:val="top"/>
          </w:tcPr>
          <w:p>
            <w:r/>
            <w:r>
              <w:rPr>
                <w:b w:val="0"/>
                <w:sz w:val="15"/>
              </w:rPr>
              <w:t>3</w:t>
            </w:r>
          </w:p>
        </w:tc>
        <w:tc>
          <w:tcPr>
            <w:tcW w:type="dxa" w:w="1560"/>
            <w:vAlign w:val="top"/>
          </w:tcPr>
          <w:p>
            <w:r/>
            <w:r>
              <w:rPr>
                <w:b w:val="0"/>
                <w:sz w:val="15"/>
              </w:rPr>
              <w:t>Define windows/triggers only where needed</w:t>
            </w:r>
          </w:p>
        </w:tc>
        <w:tc>
          <w:tcPr>
            <w:tcW w:type="dxa" w:w="1560"/>
            <w:vAlign w:val="top"/>
          </w:tcPr>
          <w:p>
            <w:r/>
            <w:r>
              <w:rPr>
                <w:b w:val="0"/>
                <w:sz w:val="15"/>
              </w:rPr>
              <w:t>Select fixed/sliding/session windows for justified time aggregations.</w:t>
            </w:r>
          </w:p>
        </w:tc>
        <w:tc>
          <w:tcPr>
            <w:tcW w:type="dxa" w:w="1560"/>
            <w:vAlign w:val="top"/>
          </w:tcPr>
          <w:p>
            <w:r/>
            <w:r>
              <w:rPr>
                <w:b w:val="0"/>
                <w:sz w:val="15"/>
              </w:rPr>
              <w:t>Windowing should serve a business requirement, not be added cosmetically.</w:t>
            </w:r>
          </w:p>
        </w:tc>
        <w:tc>
          <w:tcPr>
            <w:tcW w:type="dxa" w:w="1560"/>
            <w:vAlign w:val="top"/>
          </w:tcPr>
          <w:p>
            <w:r/>
            <w:r>
              <w:rPr>
                <w:b w:val="0"/>
                <w:sz w:val="15"/>
              </w:rPr>
              <w:t>Window design</w:t>
            </w:r>
          </w:p>
        </w:tc>
        <w:tc>
          <w:tcPr>
            <w:tcW w:type="dxa" w:w="1560"/>
            <w:vAlign w:val="top"/>
          </w:tcPr>
          <w:p>
            <w:r/>
            <w:r>
              <w:rPr>
                <w:b w:val="0"/>
                <w:sz w:val="15"/>
              </w:rPr>
              <w:t>Window/trigger rationale is stated.</w:t>
            </w:r>
          </w:p>
        </w:tc>
      </w:tr>
      <w:tr>
        <w:tc>
          <w:tcPr>
            <w:tcW w:type="dxa" w:w="1560"/>
            <w:vAlign w:val="top"/>
          </w:tcPr>
          <w:p>
            <w:r/>
            <w:r>
              <w:rPr>
                <w:b w:val="0"/>
                <w:sz w:val="15"/>
              </w:rPr>
              <w:t>4</w:t>
            </w:r>
          </w:p>
        </w:tc>
        <w:tc>
          <w:tcPr>
            <w:tcW w:type="dxa" w:w="1560"/>
            <w:vAlign w:val="top"/>
          </w:tcPr>
          <w:p>
            <w:r/>
            <w:r>
              <w:rPr>
                <w:b w:val="0"/>
                <w:sz w:val="15"/>
              </w:rPr>
              <w:t>Define late-data correction</w:t>
            </w:r>
          </w:p>
        </w:tc>
        <w:tc>
          <w:tcPr>
            <w:tcW w:type="dxa" w:w="1560"/>
            <w:vAlign w:val="top"/>
          </w:tcPr>
          <w:p>
            <w:r/>
            <w:r>
              <w:rPr>
                <w:b w:val="0"/>
                <w:sz w:val="15"/>
              </w:rPr>
              <w:t>Specify update, correction event or human review behavior.</w:t>
            </w:r>
          </w:p>
        </w:tc>
        <w:tc>
          <w:tcPr>
            <w:tcW w:type="dxa" w:w="1560"/>
            <w:vAlign w:val="top"/>
          </w:tcPr>
          <w:p>
            <w:r/>
            <w:r>
              <w:rPr>
                <w:b w:val="0"/>
                <w:sz w:val="15"/>
              </w:rPr>
              <w:t>Late data can materially change evidence/risk state.</w:t>
            </w:r>
          </w:p>
        </w:tc>
        <w:tc>
          <w:tcPr>
            <w:tcW w:type="dxa" w:w="1560"/>
            <w:vAlign w:val="top"/>
          </w:tcPr>
          <w:p>
            <w:r/>
            <w:r>
              <w:rPr>
                <w:b w:val="0"/>
                <w:sz w:val="15"/>
              </w:rPr>
              <w:t>Late-data policy</w:t>
            </w:r>
          </w:p>
        </w:tc>
        <w:tc>
          <w:tcPr>
            <w:tcW w:type="dxa" w:w="1560"/>
            <w:vAlign w:val="top"/>
          </w:tcPr>
          <w:p>
            <w:r/>
            <w:r>
              <w:rPr>
                <w:b w:val="0"/>
                <w:sz w:val="15"/>
              </w:rPr>
              <w:t>Late event has deterministic outcome.</w:t>
            </w:r>
          </w:p>
        </w:tc>
      </w:tr>
      <w:tr>
        <w:tc>
          <w:tcPr>
            <w:tcW w:type="dxa" w:w="1560"/>
            <w:vAlign w:val="top"/>
          </w:tcPr>
          <w:p>
            <w:r/>
            <w:r>
              <w:rPr>
                <w:b w:val="0"/>
                <w:sz w:val="15"/>
              </w:rPr>
              <w:t>5</w:t>
            </w:r>
          </w:p>
        </w:tc>
        <w:tc>
          <w:tcPr>
            <w:tcW w:type="dxa" w:w="1560"/>
            <w:vAlign w:val="top"/>
          </w:tcPr>
          <w:p>
            <w:r/>
            <w:r>
              <w:rPr>
                <w:b w:val="0"/>
                <w:sz w:val="15"/>
              </w:rPr>
              <w:t>Evaluate against golden disputes</w:t>
            </w:r>
          </w:p>
        </w:tc>
        <w:tc>
          <w:tcPr>
            <w:tcW w:type="dxa" w:w="1560"/>
            <w:vAlign w:val="top"/>
          </w:tcPr>
          <w:p>
            <w:r/>
            <w:r>
              <w:rPr>
                <w:b w:val="0"/>
                <w:sz w:val="15"/>
              </w:rPr>
              <w:t>Compare features, events and review routing to expectations.</w:t>
            </w:r>
          </w:p>
        </w:tc>
        <w:tc>
          <w:tcPr>
            <w:tcW w:type="dxa" w:w="1560"/>
            <w:vAlign w:val="top"/>
          </w:tcPr>
          <w:p>
            <w:r/>
            <w:r>
              <w:rPr>
                <w:b w:val="0"/>
                <w:sz w:val="15"/>
              </w:rPr>
              <w:t>Capstone validation must cover data processing and governance, not only AI output.</w:t>
            </w:r>
          </w:p>
        </w:tc>
        <w:tc>
          <w:tcPr>
            <w:tcW w:type="dxa" w:w="1560"/>
            <w:vAlign w:val="top"/>
          </w:tcPr>
          <w:p>
            <w:r/>
            <w:r>
              <w:rPr>
                <w:b w:val="0"/>
                <w:sz w:val="15"/>
              </w:rPr>
              <w:t>Evaluation report</w:t>
            </w:r>
          </w:p>
        </w:tc>
        <w:tc>
          <w:tcPr>
            <w:tcW w:type="dxa" w:w="1560"/>
            <w:vAlign w:val="top"/>
          </w:tcPr>
          <w:p>
            <w:r/>
            <w:r>
              <w:rPr>
                <w:b w:val="0"/>
                <w:sz w:val="15"/>
              </w:rPr>
              <w:t>Expected results are evidenced.</w:t>
            </w:r>
          </w:p>
        </w:tc>
      </w:tr>
    </w:tbl>
    <w:p>
      <w:r>
        <w:rPr>
          <w:b/>
        </w:rPr>
        <w:t xml:space="preserve">Execution logic and reasoning chain: </w:t>
      </w:r>
      <w:r>
        <w:t>define the processing/control boundary → create deterministic evidence → introduce event flow without changing business authority → validate with measurable controls → retain artefacts for replay, audit and the next day. This ordering is intentional: observability and cloud scale are added only after correctness is measurable.</w:t>
      </w:r>
    </w:p>
    <w:p>
      <w:r>
        <w:rPr>
          <w:b/>
        </w:rPr>
        <w:t xml:space="preserve">Minimum evidence to retain: </w:t>
      </w:r>
      <w:r>
        <w:t>Golden tests + timing/windowing evidence; test output; one representative trace; any failure/recovery evidence; and the source/config version used.</w:t>
      </w:r>
    </w:p>
    <w:p>
      <w:pPr>
        <w:spacing w:before="160" w:after="80"/>
      </w:pPr>
      <w:r>
        <w:rPr>
          <w:b/>
          <w:color w:val="1F4E79"/>
          <w:sz w:val="26"/>
        </w:rPr>
        <w:t>Day 16 — Streaming Observability &amp; Delivery Semantics — Correlation, Acknowledgement &amp; Durable Processing</w:t>
      </w:r>
    </w:p>
    <w:p>
      <w:r>
        <w:rPr>
          <w:b/>
        </w:rPr>
        <w:t xml:space="preserve">Project context: </w:t>
      </w:r>
      <w:r>
        <w:t xml:space="preserve">ChargebackIQ. </w:t>
      </w:r>
      <w:r>
        <w:rPr>
          <w:b/>
        </w:rPr>
        <w:t xml:space="preserve">Source code: </w:t>
      </w:r>
      <w:r>
        <w:t xml:space="preserve">04_SOURCE_CODE/src/projects/chargebackiq/capstone_pipeline.py. </w:t>
      </w:r>
      <w:r>
        <w:rPr>
          <w:b/>
        </w:rPr>
        <w:t xml:space="preserve">Cloud mapping: </w:t>
      </w:r>
      <w:r>
        <w:t>Cloud Storage/Dataflow batch + Pub/Sub/Dataflow stream + BigQuery + HITL review.</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top"/>
            <w:shd w:fill="2F75B5"/>
          </w:tcPr>
          <w:p>
            <w:r/>
            <w:r>
              <w:rPr>
                <w:b/>
                <w:color w:val="FFFFFF"/>
                <w:sz w:val="16"/>
              </w:rPr>
              <w:t>Step</w:t>
            </w:r>
          </w:p>
        </w:tc>
        <w:tc>
          <w:tcPr>
            <w:tcW w:type="dxa" w:w="1560"/>
            <w:vAlign w:val="top"/>
            <w:shd w:fill="2F75B5"/>
          </w:tcPr>
          <w:p>
            <w:r/>
            <w:r>
              <w:rPr>
                <w:b/>
                <w:color w:val="FFFFFF"/>
                <w:sz w:val="16"/>
              </w:rPr>
              <w:t>What to perform</w:t>
            </w:r>
          </w:p>
        </w:tc>
        <w:tc>
          <w:tcPr>
            <w:tcW w:type="dxa" w:w="1560"/>
            <w:vAlign w:val="top"/>
            <w:shd w:fill="2F75B5"/>
          </w:tcPr>
          <w:p>
            <w:r/>
            <w:r>
              <w:rPr>
                <w:b/>
                <w:color w:val="FFFFFF"/>
                <w:sz w:val="16"/>
              </w:rPr>
              <w:t>How to perform</w:t>
            </w:r>
          </w:p>
        </w:tc>
        <w:tc>
          <w:tcPr>
            <w:tcW w:type="dxa" w:w="1560"/>
            <w:vAlign w:val="top"/>
            <w:shd w:fill="2F75B5"/>
          </w:tcPr>
          <w:p>
            <w:r/>
            <w:r>
              <w:rPr>
                <w:b/>
                <w:color w:val="FFFFFF"/>
                <w:sz w:val="16"/>
              </w:rPr>
              <w:t>Why this step is required</w:t>
            </w:r>
          </w:p>
        </w:tc>
        <w:tc>
          <w:tcPr>
            <w:tcW w:type="dxa" w:w="1560"/>
            <w:vAlign w:val="top"/>
            <w:shd w:fill="2F75B5"/>
          </w:tcPr>
          <w:p>
            <w:r/>
            <w:r>
              <w:rPr>
                <w:b/>
                <w:color w:val="FFFFFF"/>
                <w:sz w:val="16"/>
              </w:rPr>
              <w:t>Expected output</w:t>
            </w:r>
          </w:p>
        </w:tc>
        <w:tc>
          <w:tcPr>
            <w:tcW w:type="dxa" w:w="1560"/>
            <w:vAlign w:val="top"/>
            <w:shd w:fill="2F75B5"/>
          </w:tcPr>
          <w:p>
            <w:r/>
            <w:r>
              <w:rPr>
                <w:b/>
                <w:color w:val="FFFFFF"/>
                <w:sz w:val="16"/>
              </w:rPr>
              <w:t>Validation / acceptance evidence</w:t>
            </w:r>
          </w:p>
        </w:tc>
      </w:tr>
      <w:tr>
        <w:tc>
          <w:tcPr>
            <w:tcW w:type="dxa" w:w="1560"/>
            <w:vAlign w:val="top"/>
          </w:tcPr>
          <w:p>
            <w:r/>
            <w:r>
              <w:rPr>
                <w:b w:val="0"/>
                <w:sz w:val="15"/>
              </w:rPr>
              <w:t>1</w:t>
            </w:r>
          </w:p>
        </w:tc>
        <w:tc>
          <w:tcPr>
            <w:tcW w:type="dxa" w:w="1560"/>
            <w:vAlign w:val="top"/>
          </w:tcPr>
          <w:p>
            <w:r/>
            <w:r>
              <w:rPr>
                <w:b w:val="0"/>
                <w:sz w:val="15"/>
              </w:rPr>
              <w:t>Propagate dispute/correlation/feature IDs</w:t>
            </w:r>
          </w:p>
        </w:tc>
        <w:tc>
          <w:tcPr>
            <w:tcW w:type="dxa" w:w="1560"/>
            <w:vAlign w:val="top"/>
          </w:tcPr>
          <w:p>
            <w:r/>
            <w:r>
              <w:rPr>
                <w:b w:val="0"/>
                <w:sz w:val="15"/>
              </w:rPr>
              <w:t>Carry identifiers through batch, stream, scoring, review and logs.</w:t>
            </w:r>
          </w:p>
        </w:tc>
        <w:tc>
          <w:tcPr>
            <w:tcW w:type="dxa" w:w="1560"/>
            <w:vAlign w:val="top"/>
          </w:tcPr>
          <w:p>
            <w:r/>
            <w:r>
              <w:rPr>
                <w:b w:val="0"/>
                <w:sz w:val="15"/>
              </w:rPr>
              <w:t>Decision provenance requires exact linkage.</w:t>
            </w:r>
          </w:p>
        </w:tc>
        <w:tc>
          <w:tcPr>
            <w:tcW w:type="dxa" w:w="1560"/>
            <w:vAlign w:val="top"/>
          </w:tcPr>
          <w:p>
            <w:r/>
            <w:r>
              <w:rPr>
                <w:b w:val="0"/>
                <w:sz w:val="15"/>
              </w:rPr>
              <w:t>Trace IDs</w:t>
            </w:r>
          </w:p>
        </w:tc>
        <w:tc>
          <w:tcPr>
            <w:tcW w:type="dxa" w:w="1560"/>
            <w:vAlign w:val="top"/>
          </w:tcPr>
          <w:p>
            <w:r/>
            <w:r>
              <w:rPr>
                <w:b w:val="0"/>
                <w:sz w:val="15"/>
              </w:rPr>
              <w:t>One dispute is reconstructable.</w:t>
            </w:r>
          </w:p>
        </w:tc>
      </w:tr>
      <w:tr>
        <w:tc>
          <w:tcPr>
            <w:tcW w:type="dxa" w:w="1560"/>
            <w:vAlign w:val="top"/>
          </w:tcPr>
          <w:p>
            <w:r/>
            <w:r>
              <w:rPr>
                <w:b w:val="0"/>
                <w:sz w:val="15"/>
              </w:rPr>
              <w:t>2</w:t>
            </w:r>
          </w:p>
        </w:tc>
        <w:tc>
          <w:tcPr>
            <w:tcW w:type="dxa" w:w="1560"/>
            <w:vAlign w:val="top"/>
          </w:tcPr>
          <w:p>
            <w:r/>
            <w:r>
              <w:rPr>
                <w:b w:val="0"/>
                <w:sz w:val="15"/>
              </w:rPr>
              <w:t>Instrument latency/lateness</w:t>
            </w:r>
          </w:p>
        </w:tc>
        <w:tc>
          <w:tcPr>
            <w:tcW w:type="dxa" w:w="1560"/>
            <w:vAlign w:val="top"/>
          </w:tcPr>
          <w:p>
            <w:r/>
            <w:r>
              <w:rPr>
                <w:b w:val="0"/>
                <w:sz w:val="15"/>
              </w:rPr>
              <w:t>Measure ingestion lag, scoring latency, late count and review age.</w:t>
            </w:r>
          </w:p>
        </w:tc>
        <w:tc>
          <w:tcPr>
            <w:tcW w:type="dxa" w:w="1560"/>
            <w:vAlign w:val="top"/>
          </w:tcPr>
          <w:p>
            <w:r/>
            <w:r>
              <w:rPr>
                <w:b w:val="0"/>
                <w:sz w:val="15"/>
              </w:rPr>
              <w:t>Delayed disputes/reviews create operational risk.</w:t>
            </w:r>
          </w:p>
        </w:tc>
        <w:tc>
          <w:tcPr>
            <w:tcW w:type="dxa" w:w="1560"/>
            <w:vAlign w:val="top"/>
          </w:tcPr>
          <w:p>
            <w:r/>
            <w:r>
              <w:rPr>
                <w:b w:val="0"/>
                <w:sz w:val="15"/>
              </w:rPr>
              <w:t>Operational metrics</w:t>
            </w:r>
          </w:p>
        </w:tc>
        <w:tc>
          <w:tcPr>
            <w:tcW w:type="dxa" w:w="1560"/>
            <w:vAlign w:val="top"/>
          </w:tcPr>
          <w:p>
            <w:r/>
            <w:r>
              <w:rPr>
                <w:b w:val="0"/>
                <w:sz w:val="15"/>
              </w:rPr>
              <w:t>Thresholds/owners are defined.</w:t>
            </w:r>
          </w:p>
        </w:tc>
      </w:tr>
      <w:tr>
        <w:tc>
          <w:tcPr>
            <w:tcW w:type="dxa" w:w="1560"/>
            <w:vAlign w:val="top"/>
          </w:tcPr>
          <w:p>
            <w:r/>
            <w:r>
              <w:rPr>
                <w:b w:val="0"/>
                <w:sz w:val="15"/>
              </w:rPr>
              <w:t>3</w:t>
            </w:r>
          </w:p>
        </w:tc>
        <w:tc>
          <w:tcPr>
            <w:tcW w:type="dxa" w:w="1560"/>
            <w:vAlign w:val="top"/>
          </w:tcPr>
          <w:p>
            <w:r/>
            <w:r>
              <w:rPr>
                <w:b w:val="0"/>
                <w:sz w:val="15"/>
              </w:rPr>
              <w:t>Log decision evidence safely</w:t>
            </w:r>
          </w:p>
        </w:tc>
        <w:tc>
          <w:tcPr>
            <w:tcW w:type="dxa" w:w="1560"/>
            <w:vAlign w:val="top"/>
          </w:tcPr>
          <w:p>
            <w:r/>
            <w:r>
              <w:rPr>
                <w:b w:val="0"/>
                <w:sz w:val="15"/>
              </w:rPr>
              <w:t>Store reason codes/references without unnecessary sensitive raw data.</w:t>
            </w:r>
          </w:p>
        </w:tc>
        <w:tc>
          <w:tcPr>
            <w:tcW w:type="dxa" w:w="1560"/>
            <w:vAlign w:val="top"/>
          </w:tcPr>
          <w:p>
            <w:r/>
            <w:r>
              <w:rPr>
                <w:b w:val="0"/>
                <w:sz w:val="15"/>
              </w:rPr>
              <w:t>Auditability and privacy must coexist.</w:t>
            </w:r>
          </w:p>
        </w:tc>
        <w:tc>
          <w:tcPr>
            <w:tcW w:type="dxa" w:w="1560"/>
            <w:vAlign w:val="top"/>
          </w:tcPr>
          <w:p>
            <w:r/>
            <w:r>
              <w:rPr>
                <w:b w:val="0"/>
                <w:sz w:val="15"/>
              </w:rPr>
              <w:t>Audit-safe log</w:t>
            </w:r>
          </w:p>
        </w:tc>
        <w:tc>
          <w:tcPr>
            <w:tcW w:type="dxa" w:w="1560"/>
            <w:vAlign w:val="top"/>
          </w:tcPr>
          <w:p>
            <w:r/>
            <w:r>
              <w:rPr>
                <w:b w:val="0"/>
                <w:sz w:val="15"/>
              </w:rPr>
              <w:t>Evidence sufficient for review, minimal sensitive data.</w:t>
            </w:r>
          </w:p>
        </w:tc>
      </w:tr>
      <w:tr>
        <w:tc>
          <w:tcPr>
            <w:tcW w:type="dxa" w:w="1560"/>
            <w:vAlign w:val="top"/>
          </w:tcPr>
          <w:p>
            <w:r/>
            <w:r>
              <w:rPr>
                <w:b w:val="0"/>
                <w:sz w:val="15"/>
              </w:rPr>
              <w:t>4</w:t>
            </w:r>
          </w:p>
        </w:tc>
        <w:tc>
          <w:tcPr>
            <w:tcW w:type="dxa" w:w="1560"/>
            <w:vAlign w:val="top"/>
          </w:tcPr>
          <w:p>
            <w:r/>
            <w:r>
              <w:rPr>
                <w:b w:val="0"/>
                <w:sz w:val="15"/>
              </w:rPr>
              <w:t>Define durable acknowledgement point</w:t>
            </w:r>
          </w:p>
        </w:tc>
        <w:tc>
          <w:tcPr>
            <w:tcW w:type="dxa" w:w="1560"/>
            <w:vAlign w:val="top"/>
          </w:tcPr>
          <w:p>
            <w:r/>
            <w:r>
              <w:rPr>
                <w:b w:val="0"/>
                <w:sz w:val="15"/>
              </w:rPr>
              <w:t>Ack after required state/evidence is durably stored.</w:t>
            </w:r>
          </w:p>
        </w:tc>
        <w:tc>
          <w:tcPr>
            <w:tcW w:type="dxa" w:w="1560"/>
            <w:vAlign w:val="top"/>
          </w:tcPr>
          <w:p>
            <w:r/>
            <w:r>
              <w:rPr>
                <w:b w:val="0"/>
                <w:sz w:val="15"/>
              </w:rPr>
              <w:t>Early ack can lose a dispute between scoring and review persistence.</w:t>
            </w:r>
          </w:p>
        </w:tc>
        <w:tc>
          <w:tcPr>
            <w:tcW w:type="dxa" w:w="1560"/>
            <w:vAlign w:val="top"/>
          </w:tcPr>
          <w:p>
            <w:r/>
            <w:r>
              <w:rPr>
                <w:b w:val="0"/>
                <w:sz w:val="15"/>
              </w:rPr>
              <w:t>Ack policy</w:t>
            </w:r>
          </w:p>
        </w:tc>
        <w:tc>
          <w:tcPr>
            <w:tcW w:type="dxa" w:w="1560"/>
            <w:vAlign w:val="top"/>
          </w:tcPr>
          <w:p>
            <w:r/>
            <w:r>
              <w:rPr>
                <w:b w:val="0"/>
                <w:sz w:val="15"/>
              </w:rPr>
              <w:t>Durable success condition is explicit.</w:t>
            </w:r>
          </w:p>
        </w:tc>
      </w:tr>
      <w:tr>
        <w:tc>
          <w:tcPr>
            <w:tcW w:type="dxa" w:w="1560"/>
            <w:vAlign w:val="top"/>
          </w:tcPr>
          <w:p>
            <w:r/>
            <w:r>
              <w:rPr>
                <w:b w:val="0"/>
                <w:sz w:val="15"/>
              </w:rPr>
              <w:t>5</w:t>
            </w:r>
          </w:p>
        </w:tc>
        <w:tc>
          <w:tcPr>
            <w:tcW w:type="dxa" w:w="1560"/>
            <w:vAlign w:val="top"/>
          </w:tcPr>
          <w:p>
            <w:r/>
            <w:r>
              <w:rPr>
                <w:b w:val="0"/>
                <w:sz w:val="15"/>
              </w:rPr>
              <w:t>Build observability walkthrough</w:t>
            </w:r>
          </w:p>
        </w:tc>
        <w:tc>
          <w:tcPr>
            <w:tcW w:type="dxa" w:w="1560"/>
            <w:vAlign w:val="top"/>
          </w:tcPr>
          <w:p>
            <w:r/>
            <w:r>
              <w:rPr>
                <w:b w:val="0"/>
                <w:sz w:val="15"/>
              </w:rPr>
              <w:t>Trace one automatic and one human-review case.</w:t>
            </w:r>
          </w:p>
        </w:tc>
        <w:tc>
          <w:tcPr>
            <w:tcW w:type="dxa" w:w="1560"/>
            <w:vAlign w:val="top"/>
          </w:tcPr>
          <w:p>
            <w:r/>
            <w:r>
              <w:rPr>
                <w:b w:val="0"/>
                <w:sz w:val="15"/>
              </w:rPr>
              <w:t>Both system paths must be observable.</w:t>
            </w:r>
          </w:p>
        </w:tc>
        <w:tc>
          <w:tcPr>
            <w:tcW w:type="dxa" w:w="1560"/>
            <w:vAlign w:val="top"/>
          </w:tcPr>
          <w:p>
            <w:r/>
            <w:r>
              <w:rPr>
                <w:b w:val="0"/>
                <w:sz w:val="15"/>
              </w:rPr>
              <w:t>Trace evidence</w:t>
            </w:r>
          </w:p>
        </w:tc>
        <w:tc>
          <w:tcPr>
            <w:tcW w:type="dxa" w:w="1560"/>
            <w:vAlign w:val="top"/>
          </w:tcPr>
          <w:p>
            <w:r/>
            <w:r>
              <w:rPr>
                <w:b w:val="0"/>
                <w:sz w:val="15"/>
              </w:rPr>
              <w:t>Both lifecycles are complete.</w:t>
            </w:r>
          </w:p>
        </w:tc>
      </w:tr>
    </w:tbl>
    <w:p>
      <w:r>
        <w:rPr>
          <w:b/>
        </w:rPr>
        <w:t xml:space="preserve">Execution logic and reasoning chain: </w:t>
      </w:r>
      <w:r>
        <w:t>define the processing/control boundary → create deterministic evidence → introduce event flow without changing business authority → validate with measurable controls → retain artefacts for replay, audit and the next day. This ordering is intentional: observability and cloud scale are added only after correctness is measurable.</w:t>
      </w:r>
    </w:p>
    <w:p>
      <w:r>
        <w:rPr>
          <w:b/>
        </w:rPr>
        <w:t xml:space="preserve">Minimum evidence to retain: </w:t>
      </w:r>
      <w:r>
        <w:t>Logs/metrics/traces + ack evidence; test output; one representative trace; any failure/recovery evidence; and the source/config version used.</w:t>
      </w:r>
    </w:p>
    <w:p>
      <w:pPr>
        <w:spacing w:before="160" w:after="80"/>
      </w:pPr>
      <w:r>
        <w:rPr>
          <w:b/>
          <w:color w:val="1F4E79"/>
          <w:sz w:val="26"/>
        </w:rPr>
        <w:t>Day 17 — Batch Backfill/Replay &amp; Stream Recovery — Idempotency, Duplicate Handling &amp; Failure Recovery</w:t>
      </w:r>
    </w:p>
    <w:p>
      <w:r>
        <w:rPr>
          <w:b/>
        </w:rPr>
        <w:t xml:space="preserve">Project context: </w:t>
      </w:r>
      <w:r>
        <w:t xml:space="preserve">ChargebackIQ. </w:t>
      </w:r>
      <w:r>
        <w:rPr>
          <w:b/>
        </w:rPr>
        <w:t xml:space="preserve">Source code: </w:t>
      </w:r>
      <w:r>
        <w:t xml:space="preserve">04_SOURCE_CODE/src/projects/chargebackiq/capstone_pipeline.py. </w:t>
      </w:r>
      <w:r>
        <w:rPr>
          <w:b/>
        </w:rPr>
        <w:t xml:space="preserve">Cloud mapping: </w:t>
      </w:r>
      <w:r>
        <w:t>Cloud Storage/Dataflow batch + Pub/Sub/Dataflow stream + BigQuery + HITL review.</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top"/>
            <w:shd w:fill="2F75B5"/>
          </w:tcPr>
          <w:p>
            <w:r/>
            <w:r>
              <w:rPr>
                <w:b/>
                <w:color w:val="FFFFFF"/>
                <w:sz w:val="16"/>
              </w:rPr>
              <w:t>Step</w:t>
            </w:r>
          </w:p>
        </w:tc>
        <w:tc>
          <w:tcPr>
            <w:tcW w:type="dxa" w:w="1560"/>
            <w:vAlign w:val="top"/>
            <w:shd w:fill="2F75B5"/>
          </w:tcPr>
          <w:p>
            <w:r/>
            <w:r>
              <w:rPr>
                <w:b/>
                <w:color w:val="FFFFFF"/>
                <w:sz w:val="16"/>
              </w:rPr>
              <w:t>What to perform</w:t>
            </w:r>
          </w:p>
        </w:tc>
        <w:tc>
          <w:tcPr>
            <w:tcW w:type="dxa" w:w="1560"/>
            <w:vAlign w:val="top"/>
            <w:shd w:fill="2F75B5"/>
          </w:tcPr>
          <w:p>
            <w:r/>
            <w:r>
              <w:rPr>
                <w:b/>
                <w:color w:val="FFFFFF"/>
                <w:sz w:val="16"/>
              </w:rPr>
              <w:t>How to perform</w:t>
            </w:r>
          </w:p>
        </w:tc>
        <w:tc>
          <w:tcPr>
            <w:tcW w:type="dxa" w:w="1560"/>
            <w:vAlign w:val="top"/>
            <w:shd w:fill="2F75B5"/>
          </w:tcPr>
          <w:p>
            <w:r/>
            <w:r>
              <w:rPr>
                <w:b/>
                <w:color w:val="FFFFFF"/>
                <w:sz w:val="16"/>
              </w:rPr>
              <w:t>Why this step is required</w:t>
            </w:r>
          </w:p>
        </w:tc>
        <w:tc>
          <w:tcPr>
            <w:tcW w:type="dxa" w:w="1560"/>
            <w:vAlign w:val="top"/>
            <w:shd w:fill="2F75B5"/>
          </w:tcPr>
          <w:p>
            <w:r/>
            <w:r>
              <w:rPr>
                <w:b/>
                <w:color w:val="FFFFFF"/>
                <w:sz w:val="16"/>
              </w:rPr>
              <w:t>Expected output</w:t>
            </w:r>
          </w:p>
        </w:tc>
        <w:tc>
          <w:tcPr>
            <w:tcW w:type="dxa" w:w="1560"/>
            <w:vAlign w:val="top"/>
            <w:shd w:fill="2F75B5"/>
          </w:tcPr>
          <w:p>
            <w:r/>
            <w:r>
              <w:rPr>
                <w:b/>
                <w:color w:val="FFFFFF"/>
                <w:sz w:val="16"/>
              </w:rPr>
              <w:t>Validation / acceptance evidence</w:t>
            </w:r>
          </w:p>
        </w:tc>
      </w:tr>
      <w:tr>
        <w:tc>
          <w:tcPr>
            <w:tcW w:type="dxa" w:w="1560"/>
            <w:vAlign w:val="top"/>
          </w:tcPr>
          <w:p>
            <w:r/>
            <w:r>
              <w:rPr>
                <w:b w:val="0"/>
                <w:sz w:val="15"/>
              </w:rPr>
              <w:t>1</w:t>
            </w:r>
          </w:p>
        </w:tc>
        <w:tc>
          <w:tcPr>
            <w:tcW w:type="dxa" w:w="1560"/>
            <w:vAlign w:val="top"/>
          </w:tcPr>
          <w:p>
            <w:r/>
            <w:r>
              <w:rPr>
                <w:b w:val="0"/>
                <w:sz w:val="15"/>
              </w:rPr>
              <w:t>Backfill a historical window</w:t>
            </w:r>
          </w:p>
        </w:tc>
        <w:tc>
          <w:tcPr>
            <w:tcW w:type="dxa" w:w="1560"/>
            <w:vAlign w:val="top"/>
          </w:tcPr>
          <w:p>
            <w:r/>
            <w:r>
              <w:rPr>
                <w:b w:val="0"/>
                <w:sz w:val="15"/>
              </w:rPr>
              <w:t>Reprocess selected period with new run_id and preserved provenance.</w:t>
            </w:r>
          </w:p>
        </w:tc>
        <w:tc>
          <w:tcPr>
            <w:tcW w:type="dxa" w:w="1560"/>
            <w:vAlign w:val="top"/>
          </w:tcPr>
          <w:p>
            <w:r/>
            <w:r>
              <w:rPr>
                <w:b w:val="0"/>
                <w:sz w:val="15"/>
              </w:rPr>
              <w:t>Rule fixes/new data require controlled backfills.</w:t>
            </w:r>
          </w:p>
        </w:tc>
        <w:tc>
          <w:tcPr>
            <w:tcW w:type="dxa" w:w="1560"/>
            <w:vAlign w:val="top"/>
          </w:tcPr>
          <w:p>
            <w:r/>
            <w:r>
              <w:rPr>
                <w:b w:val="0"/>
                <w:sz w:val="15"/>
              </w:rPr>
              <w:t>Backfill evidence</w:t>
            </w:r>
          </w:p>
        </w:tc>
        <w:tc>
          <w:tcPr>
            <w:tcW w:type="dxa" w:w="1560"/>
            <w:vAlign w:val="top"/>
          </w:tcPr>
          <w:p>
            <w:r/>
            <w:r>
              <w:rPr>
                <w:b w:val="0"/>
                <w:sz w:val="15"/>
              </w:rPr>
              <w:t>History is reprocessed with lineage.</w:t>
            </w:r>
          </w:p>
        </w:tc>
      </w:tr>
      <w:tr>
        <w:tc>
          <w:tcPr>
            <w:tcW w:type="dxa" w:w="1560"/>
            <w:vAlign w:val="top"/>
          </w:tcPr>
          <w:p>
            <w:r/>
            <w:r>
              <w:rPr>
                <w:b w:val="0"/>
                <w:sz w:val="15"/>
              </w:rPr>
              <w:t>2</w:t>
            </w:r>
          </w:p>
        </w:tc>
        <w:tc>
          <w:tcPr>
            <w:tcW w:type="dxa" w:w="1560"/>
            <w:vAlign w:val="top"/>
          </w:tcPr>
          <w:p>
            <w:r/>
            <w:r>
              <w:rPr>
                <w:b w:val="0"/>
                <w:sz w:val="15"/>
              </w:rPr>
              <w:t>Rehearse cutover</w:t>
            </w:r>
          </w:p>
        </w:tc>
        <w:tc>
          <w:tcPr>
            <w:tcW w:type="dxa" w:w="1560"/>
            <w:vAlign w:val="top"/>
          </w:tcPr>
          <w:p>
            <w:r/>
            <w:r>
              <w:rPr>
                <w:b w:val="0"/>
                <w:sz w:val="15"/>
              </w:rPr>
              <w:t>Process history to cutoff then live events after cutoff.</w:t>
            </w:r>
          </w:p>
        </w:tc>
        <w:tc>
          <w:tcPr>
            <w:tcW w:type="dxa" w:w="1560"/>
            <w:vAlign w:val="top"/>
          </w:tcPr>
          <w:p>
            <w:r/>
            <w:r>
              <w:rPr>
                <w:b w:val="0"/>
                <w:sz w:val="15"/>
              </w:rPr>
              <w:t>Rehearsal exposes gap/overlap problems.</w:t>
            </w:r>
          </w:p>
        </w:tc>
        <w:tc>
          <w:tcPr>
            <w:tcW w:type="dxa" w:w="1560"/>
            <w:vAlign w:val="top"/>
          </w:tcPr>
          <w:p>
            <w:r/>
            <w:r>
              <w:rPr>
                <w:b w:val="0"/>
                <w:sz w:val="15"/>
              </w:rPr>
              <w:t>Cutover evidence</w:t>
            </w:r>
          </w:p>
        </w:tc>
        <w:tc>
          <w:tcPr>
            <w:tcW w:type="dxa" w:w="1560"/>
            <w:vAlign w:val="top"/>
          </w:tcPr>
          <w:p>
            <w:r/>
            <w:r>
              <w:rPr>
                <w:b w:val="0"/>
                <w:sz w:val="15"/>
              </w:rPr>
              <w:t>No missing/double-counted dispute.</w:t>
            </w:r>
          </w:p>
        </w:tc>
      </w:tr>
      <w:tr>
        <w:tc>
          <w:tcPr>
            <w:tcW w:type="dxa" w:w="1560"/>
            <w:vAlign w:val="top"/>
          </w:tcPr>
          <w:p>
            <w:r/>
            <w:r>
              <w:rPr>
                <w:b w:val="0"/>
                <w:sz w:val="15"/>
              </w:rPr>
              <w:t>3</w:t>
            </w:r>
          </w:p>
        </w:tc>
        <w:tc>
          <w:tcPr>
            <w:tcW w:type="dxa" w:w="1560"/>
            <w:vAlign w:val="top"/>
          </w:tcPr>
          <w:p>
            <w:r/>
            <w:r>
              <w:rPr>
                <w:b w:val="0"/>
                <w:sz w:val="15"/>
              </w:rPr>
              <w:t>Inject late event</w:t>
            </w:r>
          </w:p>
        </w:tc>
        <w:tc>
          <w:tcPr>
            <w:tcW w:type="dxa" w:w="1560"/>
            <w:vAlign w:val="top"/>
          </w:tcPr>
          <w:p>
            <w:r/>
            <w:r>
              <w:rPr>
                <w:b w:val="0"/>
                <w:sz w:val="15"/>
              </w:rPr>
              <w:t>Send event older than allowed lateness and verify policy.</w:t>
            </w:r>
          </w:p>
        </w:tc>
        <w:tc>
          <w:tcPr>
            <w:tcW w:type="dxa" w:w="1560"/>
            <w:vAlign w:val="top"/>
          </w:tcPr>
          <w:p>
            <w:r/>
            <w:r>
              <w:rPr>
                <w:b w:val="0"/>
                <w:sz w:val="15"/>
              </w:rPr>
              <w:t>Time policy must be executable.</w:t>
            </w:r>
          </w:p>
        </w:tc>
        <w:tc>
          <w:tcPr>
            <w:tcW w:type="dxa" w:w="1560"/>
            <w:vAlign w:val="top"/>
          </w:tcPr>
          <w:p>
            <w:r/>
            <w:r>
              <w:rPr>
                <w:b w:val="0"/>
                <w:sz w:val="15"/>
              </w:rPr>
              <w:t>Late-event test</w:t>
            </w:r>
          </w:p>
        </w:tc>
        <w:tc>
          <w:tcPr>
            <w:tcW w:type="dxa" w:w="1560"/>
            <w:vAlign w:val="top"/>
          </w:tcPr>
          <w:p>
            <w:r/>
            <w:r>
              <w:rPr>
                <w:b w:val="0"/>
                <w:sz w:val="15"/>
              </w:rPr>
              <w:t>Observed behavior matches policy.</w:t>
            </w:r>
          </w:p>
        </w:tc>
      </w:tr>
      <w:tr>
        <w:tc>
          <w:tcPr>
            <w:tcW w:type="dxa" w:w="1560"/>
            <w:vAlign w:val="top"/>
          </w:tcPr>
          <w:p>
            <w:r/>
            <w:r>
              <w:rPr>
                <w:b w:val="0"/>
                <w:sz w:val="15"/>
              </w:rPr>
              <w:t>4</w:t>
            </w:r>
          </w:p>
        </w:tc>
        <w:tc>
          <w:tcPr>
            <w:tcW w:type="dxa" w:w="1560"/>
            <w:vAlign w:val="top"/>
          </w:tcPr>
          <w:p>
            <w:r/>
            <w:r>
              <w:rPr>
                <w:b w:val="0"/>
                <w:sz w:val="15"/>
              </w:rPr>
              <w:t>Inject duplicate live event</w:t>
            </w:r>
          </w:p>
        </w:tc>
        <w:tc>
          <w:tcPr>
            <w:tcW w:type="dxa" w:w="1560"/>
            <w:vAlign w:val="top"/>
          </w:tcPr>
          <w:p>
            <w:r/>
            <w:r>
              <w:rPr>
                <w:b w:val="0"/>
                <w:sz w:val="15"/>
              </w:rPr>
              <w:t>Redeliver same stable key and verify no duplicate review/business effect.</w:t>
            </w:r>
          </w:p>
        </w:tc>
        <w:tc>
          <w:tcPr>
            <w:tcW w:type="dxa" w:w="1560"/>
            <w:vAlign w:val="top"/>
          </w:tcPr>
          <w:p>
            <w:r/>
            <w:r>
              <w:rPr>
                <w:b w:val="0"/>
                <w:sz w:val="15"/>
              </w:rPr>
              <w:t>Retries must not duplicate actions.</w:t>
            </w:r>
          </w:p>
        </w:tc>
        <w:tc>
          <w:tcPr>
            <w:tcW w:type="dxa" w:w="1560"/>
            <w:vAlign w:val="top"/>
          </w:tcPr>
          <w:p>
            <w:r/>
            <w:r>
              <w:rPr>
                <w:b w:val="0"/>
                <w:sz w:val="15"/>
              </w:rPr>
              <w:t>Idempotency test</w:t>
            </w:r>
          </w:p>
        </w:tc>
        <w:tc>
          <w:tcPr>
            <w:tcW w:type="dxa" w:w="1560"/>
            <w:vAlign w:val="top"/>
          </w:tcPr>
          <w:p>
            <w:r/>
            <w:r>
              <w:rPr>
                <w:b w:val="0"/>
                <w:sz w:val="15"/>
              </w:rPr>
              <w:t>One business effect per key.</w:t>
            </w:r>
          </w:p>
        </w:tc>
      </w:tr>
      <w:tr>
        <w:tc>
          <w:tcPr>
            <w:tcW w:type="dxa" w:w="1560"/>
            <w:vAlign w:val="top"/>
          </w:tcPr>
          <w:p>
            <w:r/>
            <w:r>
              <w:rPr>
                <w:b w:val="0"/>
                <w:sz w:val="15"/>
              </w:rPr>
              <w:t>5</w:t>
            </w:r>
          </w:p>
        </w:tc>
        <w:tc>
          <w:tcPr>
            <w:tcW w:type="dxa" w:w="1560"/>
            <w:vAlign w:val="top"/>
          </w:tcPr>
          <w:p>
            <w:r/>
            <w:r>
              <w:rPr>
                <w:b w:val="0"/>
                <w:sz w:val="15"/>
              </w:rPr>
              <w:t>Execute recovery/rollback</w:t>
            </w:r>
          </w:p>
        </w:tc>
        <w:tc>
          <w:tcPr>
            <w:tcW w:type="dxa" w:w="1560"/>
            <w:vAlign w:val="top"/>
          </w:tcPr>
          <w:p>
            <w:r/>
            <w:r>
              <w:rPr>
                <w:b w:val="0"/>
                <w:sz w:val="15"/>
              </w:rPr>
              <w:t>Simulate failure, revert, replay from durable source and verify state.</w:t>
            </w:r>
          </w:p>
        </w:tc>
        <w:tc>
          <w:tcPr>
            <w:tcW w:type="dxa" w:w="1560"/>
            <w:vAlign w:val="top"/>
          </w:tcPr>
          <w:p>
            <w:r/>
            <w:r>
              <w:rPr>
                <w:b w:val="0"/>
                <w:sz w:val="15"/>
              </w:rPr>
              <w:t>Production readiness requires practiced recovery.</w:t>
            </w:r>
          </w:p>
        </w:tc>
        <w:tc>
          <w:tcPr>
            <w:tcW w:type="dxa" w:w="1560"/>
            <w:vAlign w:val="top"/>
          </w:tcPr>
          <w:p>
            <w:r/>
            <w:r>
              <w:rPr>
                <w:b w:val="0"/>
                <w:sz w:val="15"/>
              </w:rPr>
              <w:t>Recovery report</w:t>
            </w:r>
          </w:p>
        </w:tc>
        <w:tc>
          <w:tcPr>
            <w:tcW w:type="dxa" w:w="1560"/>
            <w:vAlign w:val="top"/>
          </w:tcPr>
          <w:p>
            <w:r/>
            <w:r>
              <w:rPr>
                <w:b w:val="0"/>
                <w:sz w:val="15"/>
              </w:rPr>
              <w:t>Counts/state/audit remain consistent.</w:t>
            </w:r>
          </w:p>
        </w:tc>
      </w:tr>
    </w:tbl>
    <w:p>
      <w:r>
        <w:rPr>
          <w:b/>
        </w:rPr>
        <w:t xml:space="preserve">Execution logic and reasoning chain: </w:t>
      </w:r>
      <w:r>
        <w:t>define the processing/control boundary → create deterministic evidence → introduce event flow without changing business authority → validate with measurable controls → retain artefacts for replay, audit and the next day. This ordering is intentional: observability and cloud scale are added only after correctness is measurable.</w:t>
      </w:r>
    </w:p>
    <w:p>
      <w:r>
        <w:rPr>
          <w:b/>
        </w:rPr>
        <w:t xml:space="preserve">Minimum evidence to retain: </w:t>
      </w:r>
      <w:r>
        <w:t>Replay/idempotency/recovery evidence; test output; one representative trace; any failure/recovery evidence; and the source/config version used.</w:t>
      </w:r>
    </w:p>
    <w:p>
      <w:pPr>
        <w:spacing w:before="160" w:after="80"/>
      </w:pPr>
      <w:r>
        <w:rPr>
          <w:b/>
          <w:color w:val="1F4E79"/>
          <w:sz w:val="26"/>
        </w:rPr>
        <w:t>Day 18 — Batch/Stream Production Readiness — Cutover, Rollback, Governance &amp; Release Validation</w:t>
      </w:r>
    </w:p>
    <w:p>
      <w:r>
        <w:rPr>
          <w:b/>
        </w:rPr>
        <w:t xml:space="preserve">Project context: </w:t>
      </w:r>
      <w:r>
        <w:t xml:space="preserve">ChargebackIQ. </w:t>
      </w:r>
      <w:r>
        <w:rPr>
          <w:b/>
        </w:rPr>
        <w:t xml:space="preserve">Source code: </w:t>
      </w:r>
      <w:r>
        <w:t xml:space="preserve">04_SOURCE_CODE/src/projects/chargebackiq/capstone_pipeline.py. </w:t>
      </w:r>
      <w:r>
        <w:rPr>
          <w:b/>
        </w:rPr>
        <w:t xml:space="preserve">Cloud mapping: </w:t>
      </w:r>
      <w:r>
        <w:t>Cloud Storage/Dataflow batch + Pub/Sub/Dataflow stream + BigQuery + HITL review.</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top"/>
            <w:shd w:fill="2F75B5"/>
          </w:tcPr>
          <w:p>
            <w:r/>
            <w:r>
              <w:rPr>
                <w:b/>
                <w:color w:val="FFFFFF"/>
                <w:sz w:val="16"/>
              </w:rPr>
              <w:t>Step</w:t>
            </w:r>
          </w:p>
        </w:tc>
        <w:tc>
          <w:tcPr>
            <w:tcW w:type="dxa" w:w="1560"/>
            <w:vAlign w:val="top"/>
            <w:shd w:fill="2F75B5"/>
          </w:tcPr>
          <w:p>
            <w:r/>
            <w:r>
              <w:rPr>
                <w:b/>
                <w:color w:val="FFFFFF"/>
                <w:sz w:val="16"/>
              </w:rPr>
              <w:t>What to perform</w:t>
            </w:r>
          </w:p>
        </w:tc>
        <w:tc>
          <w:tcPr>
            <w:tcW w:type="dxa" w:w="1560"/>
            <w:vAlign w:val="top"/>
            <w:shd w:fill="2F75B5"/>
          </w:tcPr>
          <w:p>
            <w:r/>
            <w:r>
              <w:rPr>
                <w:b/>
                <w:color w:val="FFFFFF"/>
                <w:sz w:val="16"/>
              </w:rPr>
              <w:t>How to perform</w:t>
            </w:r>
          </w:p>
        </w:tc>
        <w:tc>
          <w:tcPr>
            <w:tcW w:type="dxa" w:w="1560"/>
            <w:vAlign w:val="top"/>
            <w:shd w:fill="2F75B5"/>
          </w:tcPr>
          <w:p>
            <w:r/>
            <w:r>
              <w:rPr>
                <w:b/>
                <w:color w:val="FFFFFF"/>
                <w:sz w:val="16"/>
              </w:rPr>
              <w:t>Why this step is required</w:t>
            </w:r>
          </w:p>
        </w:tc>
        <w:tc>
          <w:tcPr>
            <w:tcW w:type="dxa" w:w="1560"/>
            <w:vAlign w:val="top"/>
            <w:shd w:fill="2F75B5"/>
          </w:tcPr>
          <w:p>
            <w:r/>
            <w:r>
              <w:rPr>
                <w:b/>
                <w:color w:val="FFFFFF"/>
                <w:sz w:val="16"/>
              </w:rPr>
              <w:t>Expected output</w:t>
            </w:r>
          </w:p>
        </w:tc>
        <w:tc>
          <w:tcPr>
            <w:tcW w:type="dxa" w:w="1560"/>
            <w:vAlign w:val="top"/>
            <w:shd w:fill="2F75B5"/>
          </w:tcPr>
          <w:p>
            <w:r/>
            <w:r>
              <w:rPr>
                <w:b/>
                <w:color w:val="FFFFFF"/>
                <w:sz w:val="16"/>
              </w:rPr>
              <w:t>Validation / acceptance evidence</w:t>
            </w:r>
          </w:p>
        </w:tc>
      </w:tr>
      <w:tr>
        <w:tc>
          <w:tcPr>
            <w:tcW w:type="dxa" w:w="1560"/>
            <w:vAlign w:val="top"/>
          </w:tcPr>
          <w:p>
            <w:r/>
            <w:r>
              <w:rPr>
                <w:b w:val="0"/>
                <w:sz w:val="15"/>
              </w:rPr>
              <w:t>1</w:t>
            </w:r>
          </w:p>
        </w:tc>
        <w:tc>
          <w:tcPr>
            <w:tcW w:type="dxa" w:w="1560"/>
            <w:vAlign w:val="top"/>
          </w:tcPr>
          <w:p>
            <w:r/>
            <w:r>
              <w:rPr>
                <w:b w:val="0"/>
                <w:sz w:val="15"/>
              </w:rPr>
              <w:t>Run end-to-end capstone acceptance</w:t>
            </w:r>
          </w:p>
        </w:tc>
        <w:tc>
          <w:tcPr>
            <w:tcW w:type="dxa" w:w="1560"/>
            <w:vAlign w:val="top"/>
          </w:tcPr>
          <w:p>
            <w:r/>
            <w:r>
              <w:rPr>
                <w:b w:val="0"/>
                <w:sz w:val="15"/>
              </w:rPr>
              <w:t>Execute historical build, live scoring, HITL and regression tests.</w:t>
            </w:r>
          </w:p>
        </w:tc>
        <w:tc>
          <w:tcPr>
            <w:tcW w:type="dxa" w:w="1560"/>
            <w:vAlign w:val="top"/>
          </w:tcPr>
          <w:p>
            <w:r/>
            <w:r>
              <w:rPr>
                <w:b w:val="0"/>
                <w:sz w:val="15"/>
              </w:rPr>
              <w:t>Final demo must prove combined batch/stream lifecycle.</w:t>
            </w:r>
          </w:p>
        </w:tc>
        <w:tc>
          <w:tcPr>
            <w:tcW w:type="dxa" w:w="1560"/>
            <w:vAlign w:val="top"/>
          </w:tcPr>
          <w:p>
            <w:r/>
            <w:r>
              <w:rPr>
                <w:b w:val="0"/>
                <w:sz w:val="15"/>
              </w:rPr>
              <w:t>Acceptance report</w:t>
            </w:r>
          </w:p>
        </w:tc>
        <w:tc>
          <w:tcPr>
            <w:tcW w:type="dxa" w:w="1560"/>
            <w:vAlign w:val="top"/>
          </w:tcPr>
          <w:p>
            <w:r/>
            <w:r>
              <w:rPr>
                <w:b w:val="0"/>
                <w:sz w:val="15"/>
              </w:rPr>
              <w:t>Functional/reliability gates pass.</w:t>
            </w:r>
          </w:p>
        </w:tc>
      </w:tr>
      <w:tr>
        <w:tc>
          <w:tcPr>
            <w:tcW w:type="dxa" w:w="1560"/>
            <w:vAlign w:val="top"/>
          </w:tcPr>
          <w:p>
            <w:r/>
            <w:r>
              <w:rPr>
                <w:b w:val="0"/>
                <w:sz w:val="15"/>
              </w:rPr>
              <w:t>2</w:t>
            </w:r>
          </w:p>
        </w:tc>
        <w:tc>
          <w:tcPr>
            <w:tcW w:type="dxa" w:w="1560"/>
            <w:vAlign w:val="top"/>
          </w:tcPr>
          <w:p>
            <w:r/>
            <w:r>
              <w:rPr>
                <w:b w:val="0"/>
                <w:sz w:val="15"/>
              </w:rPr>
              <w:t>Validate cutover reconciliation</w:t>
            </w:r>
          </w:p>
        </w:tc>
        <w:tc>
          <w:tcPr>
            <w:tcW w:type="dxa" w:w="1560"/>
            <w:vAlign w:val="top"/>
          </w:tcPr>
          <w:p>
            <w:r/>
            <w:r>
              <w:rPr>
                <w:b w:val="0"/>
                <w:sz w:val="15"/>
              </w:rPr>
              <w:t>Compare historical cutoff, live start, counts, keys and feature versions.</w:t>
            </w:r>
          </w:p>
        </w:tc>
        <w:tc>
          <w:tcPr>
            <w:tcW w:type="dxa" w:w="1560"/>
            <w:vAlign w:val="top"/>
          </w:tcPr>
          <w:p>
            <w:r/>
            <w:r>
              <w:rPr>
                <w:b w:val="0"/>
                <w:sz w:val="15"/>
              </w:rPr>
              <w:t>Prevents production gaps/duplicates.</w:t>
            </w:r>
          </w:p>
        </w:tc>
        <w:tc>
          <w:tcPr>
            <w:tcW w:type="dxa" w:w="1560"/>
            <w:vAlign w:val="top"/>
          </w:tcPr>
          <w:p>
            <w:r/>
            <w:r>
              <w:rPr>
                <w:b w:val="0"/>
                <w:sz w:val="15"/>
              </w:rPr>
              <w:t>Cutover control report</w:t>
            </w:r>
          </w:p>
        </w:tc>
        <w:tc>
          <w:tcPr>
            <w:tcW w:type="dxa" w:w="1560"/>
            <w:vAlign w:val="top"/>
          </w:tcPr>
          <w:p>
            <w:r/>
            <w:r>
              <w:rPr>
                <w:b w:val="0"/>
                <w:sz w:val="15"/>
              </w:rPr>
              <w:t>No unexplained overlap/gap.</w:t>
            </w:r>
          </w:p>
        </w:tc>
      </w:tr>
      <w:tr>
        <w:tc>
          <w:tcPr>
            <w:tcW w:type="dxa" w:w="1560"/>
            <w:vAlign w:val="top"/>
          </w:tcPr>
          <w:p>
            <w:r/>
            <w:r>
              <w:rPr>
                <w:b w:val="0"/>
                <w:sz w:val="15"/>
              </w:rPr>
              <w:t>3</w:t>
            </w:r>
          </w:p>
        </w:tc>
        <w:tc>
          <w:tcPr>
            <w:tcW w:type="dxa" w:w="1560"/>
            <w:vAlign w:val="top"/>
          </w:tcPr>
          <w:p>
            <w:r/>
            <w:r>
              <w:rPr>
                <w:b w:val="0"/>
                <w:sz w:val="15"/>
              </w:rPr>
              <w:t>Validate deployment/cleanup plan</w:t>
            </w:r>
          </w:p>
        </w:tc>
        <w:tc>
          <w:tcPr>
            <w:tcW w:type="dxa" w:w="1560"/>
            <w:vAlign w:val="top"/>
          </w:tcPr>
          <w:p>
            <w:r/>
            <w:r>
              <w:rPr>
                <w:b w:val="0"/>
                <w:sz w:val="15"/>
              </w:rPr>
              <w:t>Document resource creation, identities, config, monitoring and cleanup.</w:t>
            </w:r>
          </w:p>
        </w:tc>
        <w:tc>
          <w:tcPr>
            <w:tcW w:type="dxa" w:w="1560"/>
            <w:vAlign w:val="top"/>
          </w:tcPr>
          <w:p>
            <w:r/>
            <w:r>
              <w:rPr>
                <w:b w:val="0"/>
                <w:sz w:val="15"/>
              </w:rPr>
              <w:t>A deployable capstone includes operations and safe teardown.</w:t>
            </w:r>
          </w:p>
        </w:tc>
        <w:tc>
          <w:tcPr>
            <w:tcW w:type="dxa" w:w="1560"/>
            <w:vAlign w:val="top"/>
          </w:tcPr>
          <w:p>
            <w:r/>
            <w:r>
              <w:rPr>
                <w:b w:val="0"/>
                <w:sz w:val="15"/>
              </w:rPr>
              <w:t>Deployment runbook</w:t>
            </w:r>
          </w:p>
        </w:tc>
        <w:tc>
          <w:tcPr>
            <w:tcW w:type="dxa" w:w="1560"/>
            <w:vAlign w:val="top"/>
          </w:tcPr>
          <w:p>
            <w:r/>
            <w:r>
              <w:rPr>
                <w:b w:val="0"/>
                <w:sz w:val="15"/>
              </w:rPr>
              <w:t>Dependencies/cleanup are explicit.</w:t>
            </w:r>
          </w:p>
        </w:tc>
      </w:tr>
      <w:tr>
        <w:tc>
          <w:tcPr>
            <w:tcW w:type="dxa" w:w="1560"/>
            <w:vAlign w:val="top"/>
          </w:tcPr>
          <w:p>
            <w:r/>
            <w:r>
              <w:rPr>
                <w:b w:val="0"/>
                <w:sz w:val="15"/>
              </w:rPr>
              <w:t>4</w:t>
            </w:r>
          </w:p>
        </w:tc>
        <w:tc>
          <w:tcPr>
            <w:tcW w:type="dxa" w:w="1560"/>
            <w:vAlign w:val="top"/>
          </w:tcPr>
          <w:p>
            <w:r/>
            <w:r>
              <w:rPr>
                <w:b w:val="0"/>
                <w:sz w:val="15"/>
              </w:rPr>
              <w:t>Validate governance/human rights</w:t>
            </w:r>
          </w:p>
        </w:tc>
        <w:tc>
          <w:tcPr>
            <w:tcW w:type="dxa" w:w="1560"/>
            <w:vAlign w:val="top"/>
          </w:tcPr>
          <w:p>
            <w:r/>
            <w:r>
              <w:rPr>
                <w:b w:val="0"/>
                <w:sz w:val="15"/>
              </w:rPr>
              <w:t>Confirm review thresholds, audit trail and prohibited autonomous actions.</w:t>
            </w:r>
          </w:p>
        </w:tc>
        <w:tc>
          <w:tcPr>
            <w:tcW w:type="dxa" w:w="1560"/>
            <w:vAlign w:val="top"/>
          </w:tcPr>
          <w:p>
            <w:r/>
            <w:r>
              <w:rPr>
                <w:b w:val="0"/>
                <w:sz w:val="15"/>
              </w:rPr>
              <w:t>Financial decisions require approved human control.</w:t>
            </w:r>
          </w:p>
        </w:tc>
        <w:tc>
          <w:tcPr>
            <w:tcW w:type="dxa" w:w="1560"/>
            <w:vAlign w:val="top"/>
          </w:tcPr>
          <w:p>
            <w:r/>
            <w:r>
              <w:rPr>
                <w:b w:val="0"/>
                <w:sz w:val="15"/>
              </w:rPr>
              <w:t>Governance evidence</w:t>
            </w:r>
          </w:p>
        </w:tc>
        <w:tc>
          <w:tcPr>
            <w:tcW w:type="dxa" w:w="1560"/>
            <w:vAlign w:val="top"/>
          </w:tcPr>
          <w:p>
            <w:r/>
            <w:r>
              <w:rPr>
                <w:b w:val="0"/>
                <w:sz w:val="15"/>
              </w:rPr>
              <w:t>Human boundary is enforced/auditable.</w:t>
            </w:r>
          </w:p>
        </w:tc>
      </w:tr>
      <w:tr>
        <w:tc>
          <w:tcPr>
            <w:tcW w:type="dxa" w:w="1560"/>
            <w:vAlign w:val="top"/>
          </w:tcPr>
          <w:p>
            <w:r/>
            <w:r>
              <w:rPr>
                <w:b w:val="0"/>
                <w:sz w:val="15"/>
              </w:rPr>
              <w:t>5</w:t>
            </w:r>
          </w:p>
        </w:tc>
        <w:tc>
          <w:tcPr>
            <w:tcW w:type="dxa" w:w="1560"/>
            <w:vAlign w:val="top"/>
          </w:tcPr>
          <w:p>
            <w:r/>
            <w:r>
              <w:rPr>
                <w:b w:val="0"/>
                <w:sz w:val="15"/>
              </w:rPr>
              <w:t>Present production-readiness decision</w:t>
            </w:r>
          </w:p>
        </w:tc>
        <w:tc>
          <w:tcPr>
            <w:tcW w:type="dxa" w:w="1560"/>
            <w:vAlign w:val="top"/>
          </w:tcPr>
          <w:p>
            <w:r/>
            <w:r>
              <w:rPr>
                <w:b w:val="0"/>
                <w:sz w:val="15"/>
              </w:rPr>
              <w:t>Summarize passes, residual risks, owners and rollback readiness for authorised approvers.</w:t>
            </w:r>
          </w:p>
        </w:tc>
        <w:tc>
          <w:tcPr>
            <w:tcW w:type="dxa" w:w="1560"/>
            <w:vAlign w:val="top"/>
          </w:tcPr>
          <w:p>
            <w:r/>
            <w:r>
              <w:rPr>
                <w:b w:val="0"/>
                <w:sz w:val="15"/>
              </w:rPr>
              <w:t>Release decisions should be evidence-based and accountable.</w:t>
            </w:r>
          </w:p>
        </w:tc>
        <w:tc>
          <w:tcPr>
            <w:tcW w:type="dxa" w:w="1560"/>
            <w:vAlign w:val="top"/>
          </w:tcPr>
          <w:p>
            <w:r/>
            <w:r>
              <w:rPr>
                <w:b w:val="0"/>
                <w:sz w:val="15"/>
              </w:rPr>
              <w:t>Capstone acceptance matrix</w:t>
            </w:r>
          </w:p>
        </w:tc>
        <w:tc>
          <w:tcPr>
            <w:tcW w:type="dxa" w:w="1560"/>
            <w:vAlign w:val="top"/>
          </w:tcPr>
          <w:p>
            <w:r/>
            <w:r>
              <w:rPr>
                <w:b w:val="0"/>
                <w:sz w:val="15"/>
              </w:rPr>
              <w:t>Every gate has evidence/status/owner.</w:t>
            </w:r>
          </w:p>
        </w:tc>
      </w:tr>
    </w:tbl>
    <w:p>
      <w:r>
        <w:rPr>
          <w:b/>
        </w:rPr>
        <w:t xml:space="preserve">Execution logic and reasoning chain: </w:t>
      </w:r>
      <w:r>
        <w:t>define the processing/control boundary → create deterministic evidence → introduce event flow without changing business authority → validate with measurable controls → retain artefacts for replay, audit and the next day. This ordering is intentional: observability and cloud scale are added only after correctness is measurable.</w:t>
      </w:r>
    </w:p>
    <w:p>
      <w:r>
        <w:rPr>
          <w:b/>
        </w:rPr>
        <w:t xml:space="preserve">Minimum evidence to retain: </w:t>
      </w:r>
      <w:r>
        <w:t>Acceptance matrix + cutover/rollback + sign-off; test output; one representative trace; any failure/recovery evidence; and the source/config version used.</w:t>
      </w:r>
    </w:p>
    <w:p>
      <w:pPr>
        <w:spacing w:before="160" w:after="80"/>
      </w:pPr>
      <w:r>
        <w:rPr>
          <w:b/>
          <w:color w:val="1F4E79"/>
          <w:sz w:val="26"/>
        </w:rPr>
        <w:t>Source / Folder Mapping for the Applied Module</w:t>
      </w:r>
    </w:p>
    <w:tbl>
      <w:tblPr>
        <w:tblW w:type="auto" w:w="0"/>
        <w:tblLook w:firstColumn="1" w:firstRow="1" w:lastColumn="0" w:lastRow="0" w:noHBand="0" w:noVBand="1" w:val="04A0"/>
      </w:tblPr>
      <w:tblGrid>
        <w:gridCol w:w="3120"/>
        <w:gridCol w:w="3120"/>
        <w:gridCol w:w="3120"/>
      </w:tblGrid>
      <w:tr>
        <w:tc>
          <w:tcPr>
            <w:tcW w:type="dxa" w:w="3120"/>
            <w:vAlign w:val="top"/>
            <w:shd w:fill="17365D"/>
          </w:tcPr>
          <w:p>
            <w:r/>
            <w:r>
              <w:rPr>
                <w:b/>
                <w:color w:val="FFFFFF"/>
                <w:sz w:val="18"/>
              </w:rPr>
              <w:t>Item</w:t>
            </w:r>
          </w:p>
        </w:tc>
        <w:tc>
          <w:tcPr>
            <w:tcW w:type="dxa" w:w="3120"/>
            <w:vAlign w:val="top"/>
            <w:shd w:fill="17365D"/>
          </w:tcPr>
          <w:p>
            <w:r/>
            <w:r>
              <w:rPr>
                <w:b/>
                <w:color w:val="FFFFFF"/>
                <w:sz w:val="18"/>
              </w:rPr>
              <w:t>ZIP-relative location</w:t>
            </w:r>
          </w:p>
        </w:tc>
        <w:tc>
          <w:tcPr>
            <w:tcW w:type="dxa" w:w="3120"/>
            <w:vAlign w:val="top"/>
            <w:shd w:fill="17365D"/>
          </w:tcPr>
          <w:p>
            <w:r/>
            <w:r>
              <w:rPr>
                <w:b/>
                <w:color w:val="FFFFFF"/>
                <w:sz w:val="18"/>
              </w:rPr>
              <w:t>Why it is needed</w:t>
            </w:r>
          </w:p>
        </w:tc>
      </w:tr>
      <w:tr>
        <w:tc>
          <w:tcPr>
            <w:tcW w:type="dxa" w:w="3120"/>
            <w:vAlign w:val="top"/>
          </w:tcPr>
          <w:p>
            <w:r/>
            <w:r>
              <w:rPr>
                <w:b w:val="0"/>
                <w:sz w:val="16"/>
              </w:rPr>
              <w:t>Project source</w:t>
            </w:r>
          </w:p>
        </w:tc>
        <w:tc>
          <w:tcPr>
            <w:tcW w:type="dxa" w:w="3120"/>
            <w:vAlign w:val="top"/>
          </w:tcPr>
          <w:p>
            <w:r/>
            <w:r>
              <w:rPr>
                <w:b w:val="0"/>
                <w:sz w:val="16"/>
              </w:rPr>
              <w:t>04_SOURCE_CODE/src/projects/chargebackiq/capstone_pipeline.py</w:t>
            </w:r>
          </w:p>
        </w:tc>
        <w:tc>
          <w:tcPr>
            <w:tcW w:type="dxa" w:w="3120"/>
            <w:vAlign w:val="top"/>
          </w:tcPr>
          <w:p>
            <w:r/>
            <w:r>
              <w:rPr>
                <w:b w:val="0"/>
                <w:sz w:val="16"/>
              </w:rPr>
              <w:t>Runnable local implementation used for the applied steps.</w:t>
            </w:r>
          </w:p>
        </w:tc>
      </w:tr>
      <w:tr>
        <w:tc>
          <w:tcPr>
            <w:tcW w:type="dxa" w:w="3120"/>
            <w:vAlign w:val="top"/>
          </w:tcPr>
          <w:p>
            <w:r/>
            <w:r>
              <w:rPr>
                <w:b w:val="0"/>
                <w:sz w:val="16"/>
              </w:rPr>
              <w:t>Automated tests</w:t>
            </w:r>
          </w:p>
        </w:tc>
        <w:tc>
          <w:tcPr>
            <w:tcW w:type="dxa" w:w="3120"/>
            <w:vAlign w:val="top"/>
          </w:tcPr>
          <w:p>
            <w:r/>
            <w:r>
              <w:rPr>
                <w:b w:val="0"/>
                <w:sz w:val="16"/>
              </w:rPr>
              <w:t>04_SOURCE_CODE/tests/test_pipelines.py</w:t>
            </w:r>
          </w:p>
        </w:tc>
        <w:tc>
          <w:tcPr>
            <w:tcW w:type="dxa" w:w="3120"/>
            <w:vAlign w:val="top"/>
          </w:tcPr>
          <w:p>
            <w:r/>
            <w:r>
              <w:rPr>
                <w:b w:val="0"/>
                <w:sz w:val="16"/>
              </w:rPr>
              <w:t>Provides repeatable regression evidence for the local pipelines.</w:t>
            </w:r>
          </w:p>
        </w:tc>
      </w:tr>
      <w:tr>
        <w:tc>
          <w:tcPr>
            <w:tcW w:type="dxa" w:w="3120"/>
            <w:vAlign w:val="top"/>
          </w:tcPr>
          <w:p>
            <w:r/>
            <w:r>
              <w:rPr>
                <w:b w:val="0"/>
                <w:sz w:val="16"/>
              </w:rPr>
              <w:t>Detailed workbook steps</w:t>
            </w:r>
          </w:p>
        </w:tc>
        <w:tc>
          <w:tcPr>
            <w:tcW w:type="dxa" w:w="3120"/>
            <w:vAlign w:val="top"/>
          </w:tcPr>
          <w:p>
            <w:r/>
            <w:r>
              <w:rPr>
                <w:b w:val="0"/>
                <w:sz w:val="16"/>
              </w:rPr>
              <w:t>01_MASTER_WORKBOOK/AI_Banking_Master_Project_Access_Map_v4_Explicit_Batch_Streaming.xlsx → STREAM-BATCH DETAILED STEPS</w:t>
            </w:r>
          </w:p>
        </w:tc>
        <w:tc>
          <w:tcPr>
            <w:tcW w:type="dxa" w:w="3120"/>
            <w:vAlign w:val="top"/>
          </w:tcPr>
          <w:p>
            <w:r/>
            <w:r>
              <w:rPr>
                <w:b w:val="0"/>
                <w:sz w:val="16"/>
              </w:rPr>
              <w:t>Single navigation point for day/project/module/step/reasoning mapping.</w:t>
            </w:r>
          </w:p>
        </w:tc>
      </w:tr>
      <w:tr>
        <w:tc>
          <w:tcPr>
            <w:tcW w:type="dxa" w:w="3120"/>
            <w:vAlign w:val="top"/>
          </w:tcPr>
          <w:p>
            <w:r/>
            <w:r>
              <w:rPr>
                <w:b w:val="0"/>
                <w:sz w:val="16"/>
              </w:rPr>
              <w:t>GCP manual</w:t>
            </w:r>
          </w:p>
        </w:tc>
        <w:tc>
          <w:tcPr>
            <w:tcW w:type="dxa" w:w="3120"/>
            <w:vAlign w:val="top"/>
          </w:tcPr>
          <w:p>
            <w:r/>
            <w:r>
              <w:rPr>
                <w:b w:val="0"/>
                <w:sz w:val="16"/>
              </w:rPr>
              <w:t>06_GCP_GUIDE/GCP_Step_by_Step_Usage_Manual.docx</w:t>
            </w:r>
          </w:p>
        </w:tc>
        <w:tc>
          <w:tcPr>
            <w:tcW w:type="dxa" w:w="3120"/>
            <w:vAlign w:val="top"/>
          </w:tcPr>
          <w:p>
            <w:r/>
            <w:r>
              <w:rPr>
                <w:b w:val="0"/>
                <w:sz w:val="16"/>
              </w:rPr>
              <w:t>Optional cloud execution path for Pub/Sub, Dataflow/Beam and BigQuery.</w:t>
            </w:r>
          </w:p>
        </w:tc>
      </w:tr>
      <w:tr>
        <w:tc>
          <w:tcPr>
            <w:tcW w:type="dxa" w:w="3120"/>
            <w:vAlign w:val="top"/>
          </w:tcPr>
          <w:p>
            <w:r/>
            <w:r>
              <w:rPr>
                <w:b w:val="0"/>
                <w:sz w:val="16"/>
              </w:rPr>
              <w:t>Training data</w:t>
            </w:r>
          </w:p>
        </w:tc>
        <w:tc>
          <w:tcPr>
            <w:tcW w:type="dxa" w:w="3120"/>
            <w:vAlign w:val="top"/>
          </w:tcPr>
          <w:p>
            <w:r/>
            <w:r>
              <w:rPr>
                <w:b w:val="0"/>
                <w:sz w:val="16"/>
              </w:rPr>
              <w:t>05_DATA/</w:t>
            </w:r>
          </w:p>
        </w:tc>
        <w:tc>
          <w:tcPr>
            <w:tcW w:type="dxa" w:w="3120"/>
            <w:vAlign w:val="top"/>
          </w:tcPr>
          <w:p>
            <w:r/>
            <w:r>
              <w:rPr>
                <w:b w:val="0"/>
                <w:sz w:val="16"/>
              </w:rPr>
              <w:t>Synthetic datasets used for deterministic local execution and test fixtures.</w:t>
            </w:r>
          </w:p>
        </w:tc>
      </w:tr>
    </w:tbl>
    <w:sectPr>
      <w:headerReference w:type="default" r:id="rId7"/>
      <w:footerReference w:type="default" r:id="rId8"/>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ChargebackIQ | Final Capstone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7365D"/>
      <w:sz w:val="30"/>
      <w:szCs w:val="30"/>
    </w:rPr>
  </w:style>
  <w:style w:type="paragraph" w:styleId="Heading2">
    <w:name w:val="Heading 2"/>
    <w:basedOn w:val="Normal"/>
    <w:next w:val="Normal"/>
    <w:qFormat/>
    <w:pPr>
      <w:spacing w:after="140" w:before="200"/>
      <w:outlineLvl w:val="1"/>
    </w:pPr>
    <w:rPr>
      <w:rFonts w:ascii="Arial" w:cs="Arial" w:eastAsia="Arial" w:hAnsi="Arial"/>
      <w:b/>
      <w:bCs/>
      <w:color w:val="2F75B5"/>
      <w:sz w:val="25"/>
      <w:szCs w:val="25"/>
    </w:rPr>
  </w:style>
  <w:style w:type="paragraph" w:styleId="Heading3">
    <w:name w:val="Heading 3"/>
    <w:basedOn w:val="Normal"/>
    <w:next w:val="Normal"/>
    <w:qFormat/>
    <w:pPr>
      <w:spacing w:after="100" w:before="220"/>
      <w:outlineLvl w:val="2"/>
    </w:pPr>
    <w:rPr>
      <w:rFonts w:ascii="Arial" w:cs="Arial" w:eastAsia="Arial" w:hAnsi="Arial"/>
      <w:b/>
      <w:bCs/>
      <w:color w:val="2F75B5"/>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7be9b5659cbaca87adca4befa039b40416a62c.png"/><Relationship Id="rId10" Type="http://schemas.openxmlformats.org/officeDocument/2006/relationships/image" Target="media/6145b0e83c296fc6f6278610630754a4970d7999.png"/><Relationship Id="rId11" Type="http://schemas.openxmlformats.org/officeDocument/2006/relationships/image" Target="media/352c43d3f0a1bafd490cc80548020b253e33465c.png"/><Relationship Id="rId12" Type="http://schemas.openxmlformats.org/officeDocument/2006/relationships/image" Target="media/4a084959dc403e29f668ed066f9e4c595511e059.png"/><Relationship Id="rId13" Type="http://schemas.openxmlformats.org/officeDocument/2006/relationships/image" Target="media/1abaaeb446a6499279c48e37cba56c7f14913abe.png"/><Relationship Id="rId14" Type="http://schemas.openxmlformats.org/officeDocument/2006/relationships/image" Target="media/e5e8040b3f83cce631900a5eddbda1057a87dfdd.png"/><Relationship Id="rId15" Type="http://schemas.openxmlformats.org/officeDocument/2006/relationships/image" Target="media/d91e9216f69a7c0788a4c07f547fa5c6b87cba7b.png"/><Relationship Id="rId16" Type="http://schemas.openxmlformats.org/officeDocument/2006/relationships/image" Target="media/5c2bfacd93e07c2c82d6600ee91946edf5b65222.png"/><Relationship Id="rId17" Type="http://schemas.openxmlformats.org/officeDocument/2006/relationships/image" Target="media/a83ca9cc56f130a28a4b48925589450c2c125a63.png"/><Relationship Id="rId18" Type="http://schemas.openxmlformats.org/officeDocument/2006/relationships/image" Target="media/5de56a453731a96261585d97e1ad11ffaf075b07.png"/><Relationship Id="rId19" Type="http://schemas.openxmlformats.org/officeDocument/2006/relationships/image" Target="media/b1887f8c627a396bd3ea0355f91d85920821463a.png"/><Relationship Id="rId20" Type="http://schemas.openxmlformats.org/officeDocument/2006/relationships/image" Target="media/108b59e9cc3c3cbb80b1f663327ca7a04e1e750d.png"/><Relationship Id="rId21" Type="http://schemas.openxmlformats.org/officeDocument/2006/relationships/image" Target="media/b0df33cd607aac04ca06d121afa07647db863817.png"/><Relationship Id="rId22" Type="http://schemas.openxmlformats.org/officeDocument/2006/relationships/image" Target="media/9c48b13ea9cf95371c5e297e9aaf18a1079f2b78.png"/><Relationship Id="rId23" Type="http://schemas.openxmlformats.org/officeDocument/2006/relationships/image" Target="media/8935ba77ceb4d71d7be871b9fcf0c4823984f6ab.png"/><Relationship Id="rId24" Type="http://schemas.openxmlformats.org/officeDocument/2006/relationships/image" Target="media/2c6ba0149f1acd33cf8f65e293f2dbfe0c8521bf.png"/><Relationship Id="rId25" Type="http://schemas.openxmlformats.org/officeDocument/2006/relationships/image" Target="media/6eea0d67b69ebf809d83eb1ec572cc350f15e696.png"/><Relationship Id="rId26" Type="http://schemas.openxmlformats.org/officeDocument/2006/relationships/image" Target="media/479b75ec21385045c73eed3b567a3687517d8cf9.png"/><Relationship Id="rId2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Case Study – Complete Session Work Pack</dc:title>
  <dc:creator>Curriculum Pack</dc:creator>
  <cp:lastModifiedBy>Un-named</cp:lastModifiedBy>
  <cp:revision>1</cp:revision>
  <dcterms:created xsi:type="dcterms:W3CDTF">2026-09-28T09:39:02.577Z</dcterms:created>
  <dcterms:modified xsi:type="dcterms:W3CDTF">2026-09-28T09:39:02.577Z</dcterms:modified>
</cp:coreProperties>
</file>

<file path=docProps/custom.xml><?xml version="1.0" encoding="utf-8"?>
<Properties xmlns="http://schemas.openxmlformats.org/officeDocument/2006/custom-properties" xmlns:vt="http://schemas.openxmlformats.org/officeDocument/2006/docPropsVTypes"/>
</file>