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BankAssist360 | Day 2</w:t>
      </w:r>
    </w:p>
    <w:p>
      <w:pPr>
        <w:pStyle w:val="Subtitle"/>
      </w:pPr>
      <w:r>
        <w:t>Guided GenAI Case Study, Architecture and Step-by-Step Exercises</w:t>
      </w:r>
    </w:p>
    <w:p>
      <w:r>
        <w:rPr>
          <w:b/>
          <w:color w:val="1B658B"/>
          <w:sz w:val="18"/>
        </w:rPr>
        <w:t>SOURCE-LOCKED: S006–S010     •     FOUR-HOUR GUIDED LAB     •     BANKING DEMONSTRATION</w:t>
      </w:r>
    </w:p>
    <w:p>
      <w:r>
        <w:t>Real GenAI occurs only in llm mode. Offline template mode is a deterministic reference, not generative AI.</w:t>
      </w:r>
    </w:p>
    <w:p>
      <w:pPr>
        <w:pStyle w:val="Heading1"/>
      </w:pPr>
      <w:r>
        <w:t>1. Business case and learning contract</w:t>
      </w:r>
    </w:p>
    <w:p>
      <w:r>
        <w:t>A fictional bank wants to help service agents explain transactions using verified records. The API retrieves an authorised synthetic transaction, sends only approved fields to a text-generating LLM, checks essential factual anchors, logs a trace and awaits a human reviewer. The system makes no financial decisions.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73E62"/>
          </w:tcPr>
          <w:p>
            <w:r>
              <w:rPr>
                <w:b/>
                <w:color w:val="FFFFFF"/>
                <w:sz w:val="16"/>
              </w:rPr>
              <w:t>Who / What</w:t>
            </w:r>
          </w:p>
        </w:tc>
        <w:tc>
          <w:tcPr>
            <w:tcW w:type="dxa" w:w="4939"/>
            <w:shd w:fill="173E62"/>
          </w:tcPr>
          <w:p>
            <w:r>
              <w:rPr>
                <w:b/>
                <w:color w:val="FFFFFF"/>
                <w:sz w:val="16"/>
              </w:rPr>
              <w:t>Training answer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5"/>
              </w:rPr>
              <w:t>Who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5"/>
              </w:rPr>
              <w:t>Support trainee, business reviewer, approved inference service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5"/>
              </w:rPr>
              <w:t>What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5"/>
              </w:rPr>
              <w:t>Generate five verified-record-based INTERNAL drafts; optionally evaluate sixth record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5"/>
              </w:rPr>
              <w:t>Why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5"/>
              </w:rPr>
              <w:t>Explain facts clearly without inventing refund, fraud or account decisions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5"/>
              </w:rPr>
              <w:t>How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sz w:val="15"/>
              </w:rPr>
              <w:t>FastAPI → SQL facts → trusted prompt → LLM → evidence checks → audit → review</w:t>
            </w:r>
          </w:p>
        </w:tc>
      </w:tr>
    </w:tbl>
    <w:p>
      <w:pPr>
        <w:spacing w:after="0"/>
      </w:pPr>
    </w:p>
    <w:p>
      <w:pPr>
        <w:pStyle w:val="Heading1"/>
      </w:pPr>
      <w:r>
        <w:t>2. Reference architecture and trust boundaries</w:t>
      </w:r>
    </w:p>
    <w:p>
      <w:r>
        <w:drawing>
          <wp:inline xmlns:a="http://schemas.openxmlformats.org/drawingml/2006/main" xmlns:pic="http://schemas.openxmlformats.org/drawingml/2006/picture">
            <wp:extent cx="6327648" cy="324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24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Important: “memo” fields are untrusted and never included in outgoing LLM messages. A passing anchor check is necessary but not sufficient for semantic accuracy. All generated text remains an internal draft.</w:t>
      </w:r>
    </w:p>
    <w:p>
      <w:pPr>
        <w:pStyle w:val="Heading1"/>
      </w:pPr>
      <w:r>
        <w:t>3. Four-hour TOC and classroom outcomes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73E62"/>
          </w:tcPr>
          <w:p>
            <w:r>
              <w:rPr>
                <w:b/>
                <w:color w:val="FFFFFF"/>
                <w:sz w:val="16"/>
              </w:rPr>
              <w:t>Hour</w:t>
            </w:r>
          </w:p>
        </w:tc>
        <w:tc>
          <w:tcPr>
            <w:tcW w:type="dxa" w:w="3293"/>
            <w:shd w:fill="173E62"/>
          </w:tcPr>
          <w:p>
            <w:r>
              <w:rPr>
                <w:b/>
                <w:color w:val="FFFFFF"/>
                <w:sz w:val="16"/>
              </w:rPr>
              <w:t>TOC ID and exact topic</w:t>
            </w:r>
          </w:p>
        </w:tc>
        <w:tc>
          <w:tcPr>
            <w:tcW w:type="dxa" w:w="3293"/>
            <w:shd w:fill="173E62"/>
          </w:tcPr>
          <w:p>
            <w:r>
              <w:rPr>
                <w:b/>
                <w:color w:val="FFFFFF"/>
                <w:sz w:val="16"/>
              </w:rPr>
              <w:t>Action / evidence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1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S006  Gen AI &amp; Challenges | AI vs ML vs GenAI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Classify DB status vs rules vs predictive ML vs text generation. Produce model-selection note.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2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S007  Core Principles of GenAI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Inspect chat-completion payload; demonstrate three inference calls and sampling variation.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3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S008  Types of GenAI Models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Choose text LLM; configure approved endpoint; produce five evidence-based drafts.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4A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S009  How Generative Models Create Data; Key Challenges: Bias, Hallucination, Stochasticity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Examine TXN103 memo injection, hallucinated commitment test, variation and flags.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4B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S010  Business and Technical Challenges in Deployment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Run tests; internal reviewer gate; record risk, mitigation and responsible owner.</w:t>
            </w:r>
          </w:p>
        </w:tc>
      </w:tr>
    </w:tbl>
    <w:p>
      <w:pPr>
        <w:spacing w:after="0"/>
      </w:pPr>
    </w:p>
    <w:p>
      <w:pPr>
        <w:pStyle w:val="Heading1"/>
      </w:pPr>
      <w:r>
        <w:t>4. Five training inputs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173E62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76"/>
            <w:shd w:fill="173E62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76"/>
            <w:shd w:fill="173E62"/>
          </w:tcPr>
          <w:p>
            <w:r>
              <w:rPr>
                <w:b/>
                <w:color w:val="FFFFFF"/>
                <w:sz w:val="16"/>
              </w:rPr>
              <w:t>Amount (INR)</w:t>
            </w:r>
          </w:p>
        </w:tc>
        <w:tc>
          <w:tcPr>
            <w:tcW w:type="dxa" w:w="1976"/>
            <w:shd w:fill="173E62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76"/>
            <w:shd w:fill="173E62"/>
          </w:tcPr>
          <w:p>
            <w:r>
              <w:rPr>
                <w:b/>
                <w:color w:val="FFFFFF"/>
                <w:sz w:val="16"/>
              </w:rPr>
              <w:t>What to check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TXN101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DEBIT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2,500.00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SUCCESS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Correct merchant and recorded status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TXN102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CREDIT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8,200.00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SUCCESS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invented salary explanation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TXN103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DEBIT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499.00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Malicious memo excluded; no refund promise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TXN104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DEBIT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1,200.00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FAILED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Do not claim funds reached merchant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TXN105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CREDIT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155.75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SUCCESS</w:t>
            </w:r>
          </w:p>
        </w:tc>
        <w:tc>
          <w:tcPr>
            <w:tcW w:type="dxa" w:w="1976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guessed account balance</w:t>
            </w:r>
          </w:p>
        </w:tc>
      </w:tr>
    </w:tbl>
    <w:p>
      <w:pPr>
        <w:spacing w:after="0"/>
      </w:pPr>
    </w:p>
    <w:p>
      <w:pPr>
        <w:pStyle w:val="Heading1"/>
      </w:pPr>
      <w:r>
        <w:t>5. Step-by-step execution (input → work → output)</w:t>
      </w:r>
    </w:p>
    <w:p>
      <w:pPr>
        <w:pStyle w:val="Heading2"/>
      </w:pPr>
      <w:r>
        <w:t>01 | Environment</w:t>
      </w:r>
    </w:p>
    <w:p>
      <w:r>
        <w:rPr>
          <w:b/>
        </w:rPr>
        <w:t xml:space="preserve">ACTION: </w:t>
      </w:r>
      <w:r>
        <w:t>Create venv; install requirements; copy .env.example to .env; launch uvicorn.</w:t>
      </w:r>
    </w:p>
    <w:p>
      <w:r>
        <w:rPr>
          <w:b/>
        </w:rPr>
        <w:t xml:space="preserve">OUTPUT: </w:t>
      </w:r>
      <w:r>
        <w:t>Swagger at /docs and /health shows provider mode.</w:t>
      </w:r>
    </w:p>
    <w:p>
      <w:pPr>
        <w:pStyle w:val="Heading2"/>
      </w:pPr>
      <w:r>
        <w:t>02 | Verified facts</w:t>
      </w:r>
    </w:p>
    <w:p>
      <w:r>
        <w:rPr>
          <w:b/>
        </w:rPr>
        <w:t xml:space="preserve">ACTION: </w:t>
      </w:r>
      <w:r>
        <w:t>GET /api/v1/transactions using x-demo-key; inspect the JSON rows.</w:t>
      </w:r>
    </w:p>
    <w:p>
      <w:r>
        <w:rPr>
          <w:b/>
        </w:rPr>
        <w:t xml:space="preserve">OUTPUT: </w:t>
      </w:r>
      <w:r>
        <w:t>Six synthetic records without memo exposure.</w:t>
      </w:r>
    </w:p>
    <w:p>
      <w:pPr>
        <w:pStyle w:val="Heading2"/>
      </w:pPr>
      <w:r>
        <w:t>03 | Technology selection</w:t>
      </w:r>
    </w:p>
    <w:p>
      <w:r>
        <w:rPr>
          <w:b/>
        </w:rPr>
        <w:t xml:space="preserve">ACTION: </w:t>
      </w:r>
      <w:r>
        <w:t>Run GET /model-selection; mark what needs DB, rules, trained ML and LLM.</w:t>
      </w:r>
    </w:p>
    <w:p>
      <w:r>
        <w:rPr>
          <w:b/>
        </w:rPr>
        <w:t xml:space="preserve">OUTPUT: </w:t>
      </w:r>
      <w:r>
        <w:t>Model selection note and reasons.</w:t>
      </w:r>
    </w:p>
    <w:p>
      <w:pPr>
        <w:pStyle w:val="Heading2"/>
      </w:pPr>
      <w:r>
        <w:t>04 | Trusted prompt</w:t>
      </w:r>
    </w:p>
    <w:p>
      <w:r>
        <w:rPr>
          <w:b/>
        </w:rPr>
        <w:t xml:space="preserve">ACTION: </w:t>
      </w:r>
      <w:r>
        <w:t>Inspect trusted_facts and build_messages; check TXN103 hostile memo never passes.</w:t>
      </w:r>
    </w:p>
    <w:p>
      <w:r>
        <w:rPr>
          <w:b/>
        </w:rPr>
        <w:t xml:space="preserve">OUTPUT: </w:t>
      </w:r>
      <w:r>
        <w:t>Only ID/amount/date/status/merchant/etc. are forwarded.</w:t>
      </w:r>
    </w:p>
    <w:p>
      <w:pPr>
        <w:pStyle w:val="Heading2"/>
      </w:pPr>
      <w:r>
        <w:t>05 | REAL GenAI switch</w:t>
      </w:r>
    </w:p>
    <w:p>
      <w:r>
        <w:rPr>
          <w:b/>
        </w:rPr>
        <w:t xml:space="preserve">ACTION: </w:t>
      </w:r>
      <w:r>
        <w:t>Set PROVIDER_MODE=llm, LLM_BASE_URL, LLM_MODEL, LLM_API_KEY for approved service. Restart.</w:t>
      </w:r>
    </w:p>
    <w:p>
      <w:r>
        <w:rPr>
          <w:b/>
        </w:rPr>
        <w:t xml:space="preserve">OUTPUT: </w:t>
      </w:r>
      <w:r>
        <w:t>LLM adapter makes genuine chat-completion request (no API key = error).</w:t>
      </w:r>
    </w:p>
    <w:p>
      <w:pPr>
        <w:pStyle w:val="Heading2"/>
      </w:pPr>
      <w:r>
        <w:t>06 | Five drafts</w:t>
      </w:r>
    </w:p>
    <w:p>
      <w:r>
        <w:rPr>
          <w:b/>
        </w:rPr>
        <w:t xml:space="preserve">ACTION: </w:t>
      </w:r>
      <w:r>
        <w:t>Use POST /explanations/TXN101...TXN105 or run scripts/run_5_cases.py.</w:t>
      </w:r>
    </w:p>
    <w:p>
      <w:r>
        <w:rPr>
          <w:b/>
        </w:rPr>
        <w:t xml:space="preserve">OUTPUT: </w:t>
      </w:r>
      <w:r>
        <w:t>Five drafts; each has audit ID, provider, flags, review=PENDING.</w:t>
      </w:r>
    </w:p>
    <w:p>
      <w:pPr>
        <w:pStyle w:val="Heading2"/>
      </w:pPr>
      <w:r>
        <w:t>07 | Failure evaluation</w:t>
      </w:r>
    </w:p>
    <w:p>
      <w:r>
        <w:rPr>
          <w:b/>
        </w:rPr>
        <w:t xml:space="preserve">ACTION: </w:t>
      </w:r>
      <w:r>
        <w:t>Run tests that append fake extra amounts or refund guarantees.</w:t>
      </w:r>
    </w:p>
    <w:p>
      <w:r>
        <w:rPr>
          <w:b/>
        </w:rPr>
        <w:t xml:space="preserve">OUTPUT: </w:t>
      </w:r>
      <w:r>
        <w:t>Validation fails for tested unsupported claims.</w:t>
      </w:r>
    </w:p>
    <w:p>
      <w:pPr>
        <w:pStyle w:val="Heading2"/>
      </w:pPr>
      <w:r>
        <w:t>08 | Sampling</w:t>
      </w:r>
    </w:p>
    <w:p>
      <w:r>
        <w:rPr>
          <w:b/>
        </w:rPr>
        <w:t xml:space="preserve">ACTION: </w:t>
      </w:r>
      <w:r>
        <w:t>POST /explanations/TXN105/variability with temperature 0.7.</w:t>
      </w:r>
    </w:p>
    <w:p>
      <w:r>
        <w:rPr>
          <w:b/>
        </w:rPr>
        <w:t xml:space="preserve">OUTPUT: </w:t>
      </w:r>
      <w:r>
        <w:t>Three draws and uniqueness count; outputs may remain identical.</w:t>
      </w:r>
    </w:p>
    <w:p>
      <w:pPr>
        <w:pStyle w:val="Heading2"/>
      </w:pPr>
      <w:r>
        <w:t>09 | Review</w:t>
      </w:r>
    </w:p>
    <w:p>
      <w:r>
        <w:rPr>
          <w:b/>
        </w:rPr>
        <w:t xml:space="preserve">ACTION: </w:t>
      </w:r>
      <w:r>
        <w:t>Get /audits/{id} with reviewer key; compare every claim to original record; submit review.</w:t>
      </w:r>
    </w:p>
    <w:p>
      <w:r>
        <w:rPr>
          <w:b/>
        </w:rPr>
        <w:t xml:space="preserve">OUTPUT: </w:t>
      </w:r>
      <w:r>
        <w:t>APPROVED_FOR_INTERNAL_USE or REJECTED; no publication.</w:t>
      </w:r>
    </w:p>
    <w:p>
      <w:pPr>
        <w:pStyle w:val="Heading2"/>
      </w:pPr>
      <w:r>
        <w:t>10 | Exit evidence</w:t>
      </w:r>
    </w:p>
    <w:p>
      <w:r>
        <w:rPr>
          <w:b/>
        </w:rPr>
        <w:t xml:space="preserve">ACTION: </w:t>
      </w:r>
      <w:r>
        <w:t>Fill risk register, model note; run pytest and save five draft JSON outputs.</w:t>
      </w:r>
    </w:p>
    <w:p>
      <w:r>
        <w:rPr>
          <w:b/>
        </w:rPr>
        <w:t xml:space="preserve">OUTPUT: </w:t>
      </w:r>
      <w:r>
        <w:t>Named owner, mitigation, test log and final rubric.</w:t>
      </w:r>
    </w:p>
    <w:p>
      <w:pPr>
        <w:pStyle w:val="Heading1"/>
      </w:pPr>
      <w:r>
        <w:t>6. API reference / test data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73E62"/>
          </w:tcPr>
          <w:p>
            <w:r>
              <w:rPr>
                <w:b/>
                <w:color w:val="FFFFFF"/>
                <w:sz w:val="16"/>
              </w:rPr>
              <w:t>Method / route</w:t>
            </w:r>
          </w:p>
        </w:tc>
        <w:tc>
          <w:tcPr>
            <w:tcW w:type="dxa" w:w="3293"/>
            <w:shd w:fill="173E62"/>
          </w:tcPr>
          <w:p>
            <w:r>
              <w:rPr>
                <w:b/>
                <w:color w:val="FFFFFF"/>
                <w:sz w:val="16"/>
              </w:rPr>
              <w:t>Header</w:t>
            </w:r>
          </w:p>
        </w:tc>
        <w:tc>
          <w:tcPr>
            <w:tcW w:type="dxa" w:w="3293"/>
            <w:shd w:fill="173E62"/>
          </w:tcPr>
          <w:p>
            <w:r>
              <w:rPr>
                <w:b/>
                <w:color w:val="FFFFFF"/>
                <w:sz w:val="16"/>
              </w:rPr>
              <w:t>Expected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GET /health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none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Explicit mode and DB health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GET /api/v1/transactions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x-demo-key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Six verified synthetic records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/api/v1/explanations/{id}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x-demo-key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Draft, flags, audit ID, PENDING review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/api/v1/explanations/{id}/variability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x-demo-key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Three separate drafts / three audits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GET /api/v1/audits/{id}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x-reviewer-key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Reviewer evidence and checks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/api/v1/reviews/{id}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x-reviewer-key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sz w:val="15"/>
              </w:rPr>
              <w:t>One-time internal decision only</w:t>
            </w:r>
          </w:p>
        </w:tc>
      </w:tr>
    </w:tbl>
    <w:p>
      <w:pPr>
        <w:spacing w:after="0"/>
      </w:pPr>
    </w:p>
    <w:p>
      <w:pPr>
        <w:pStyle w:val="Heading1"/>
      </w:pPr>
      <w:r>
        <w:t>7. Evaluation and success criteria</w:t>
      </w:r>
    </w:p>
    <w:p>
      <w:pPr>
        <w:pStyle w:val="ListBullet"/>
      </w:pPr>
      <w:r>
        <w:t>Model choice: classify deterministic retrieval, rules, validated ML and GenAI; explain why models are not interchangeable.</w:t>
      </w:r>
    </w:p>
    <w:p>
      <w:pPr>
        <w:pStyle w:val="ListBullet"/>
      </w:pPr>
      <w:r>
        <w:t>Five outputs: each must contain accurate ID, amount, merchant, date, direction and status.</w:t>
      </w:r>
    </w:p>
    <w:p>
      <w:pPr>
        <w:pStyle w:val="ListBullet"/>
      </w:pPr>
      <w:r>
        <w:t>Attack case: TXN103 memo may contain adversarial instructions; outgoing prompt excludes it.</w:t>
      </w:r>
    </w:p>
    <w:p>
      <w:pPr>
        <w:pStyle w:val="ListBullet"/>
      </w:pPr>
      <w:r>
        <w:t>Quality: test deliberate unsafe refunds and unsupported amounts; acknowledge validator limitations.</w:t>
      </w:r>
    </w:p>
    <w:p>
      <w:pPr>
        <w:pStyle w:val="ListBullet"/>
      </w:pPr>
      <w:r>
        <w:t>Variance: record whether three LLM drafts differ, without assuming they must differ.</w:t>
      </w:r>
    </w:p>
    <w:p>
      <w:pPr>
        <w:pStyle w:val="ListBullet"/>
      </w:pPr>
      <w:r>
        <w:t>Governance: every draft requires human semantic review; preserve risk register and audit references.</w:t>
      </w:r>
    </w:p>
    <w:p>
      <w:r>
        <w:t>Instructor note: this is a lab, not a production banking architecture. Static keys, auto-created tables and heuristic content checks must be replaced with enterprise controls before any use with real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6678"/>
        <w:sz w:val="16"/>
      </w:rPr>
      <w:t>Training use only  |  Synthetic banking records  |  No autonomous customer or financial action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65F78"/>
        <w:sz w:val="16"/>
      </w:rPr>
      <w:t>BANKASSIST360     /     DAY 02     /     INSTRUCTOR + PARTICIPANT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color w:val="28354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C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C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C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3C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